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98 vom 20. Mai 2019</w:t>
      </w:r>
    </w:p>
    <w:p>
      <w:r>
        <w:t>FR Kantonsgericht, 2019-05-20, FR</w:t>
      </w:r>
    </w:p>
    <w:p>
      <w:r>
        <w:rPr>
          <w:b/>
        </w:rPr>
        <w:t xml:space="preserve">Quelle: </w:t>
      </w:r>
      <w:r>
        <w:t>https://mcp.opencaselaw.ch/entscheid/fr_gerichte_502_2019_98</w:t>
      </w:r>
    </w:p>
    <w:p>
      <w:r>
        <w:t>FR: FR_GERICHTE 502 2019 98 du 20 mai 2019</w:t>
      </w:r>
    </w:p>
    <w:p>
      <w:r>
        <w:t>IT: FR_GERICHTE 502 2019 98 del 20 maggio 2019</w:t>
      </w:r>
    </w:p>
    <w:p>
      <w:pPr>
        <w:pStyle w:val="Heading2"/>
      </w:pPr>
      <w:r>
        <w:t>Regeste</w:t>
      </w:r>
    </w:p>
    <w:p>
      <w:r>
        <w:t>Arrêt de la Chambre pénale du Tribunal cantonal | Nichtanhandnahme (Art. 310 StPO)</w:t>
      </w:r>
    </w:p>
    <w:p>
      <w:pPr>
        <w:pStyle w:val="Heading2"/>
      </w:pPr>
      <w:r>
        <w:t>Erwägungen</w:t>
      </w:r>
    </w:p>
    <w:p>
      <w:r>
        <w:rPr>
          <w:b/>
        </w:rPr>
        <w:t>E. 1</w:t>
      </w:r>
    </w:p>
    <w:p>
      <w:r>
        <w:t>Dans la mesure où le recourant « réclame à la cour la révision en l’application [des] art. 410 ss CPP », il n’est pas entré en matière sur son écrit du 29 mars 2019. En effet, il ne demande pas la révision d’un jugement entré en force ou d’une ordonnance pénale, mais il s’oppose à l’ordon- nance de non-entrée en matière du 22 mars 2019, laquelle peut faire l’objet d’un recours au sens des art. 393 ss CPP (cf. ci-après, ch. 2).</w:t>
      </w:r>
    </w:p>
    <w:p>
      <w:r>
        <w:rPr>
          <w:b/>
        </w:rPr>
        <w:t>E. 2</w:t>
      </w:r>
    </w:p>
    <w:p>
      <w:r>
        <w:t>Les parties peuvent attaquer une ordonnance de non-entrée en matière rendue par le Ministère public dans les dix jours devant l’autorité de recours (art. 310 al. 2, 322 al. 2 et 396 al. 1 CPP) qui est dans le canton de Fribourg la Chambre pénale du Tribunal cantonal (art. 85 al. 2 LJ). Le recours a été interjeté dans le délai légal par la partie plaignante, qui a la qualité pour recourir (cf. art. 382 al. 1 CPP).</w:t>
      </w:r>
    </w:p>
    <w:p>
      <w:r>
        <w:t>Tribunal cantonal TC Page 3 de 5</w:t>
      </w:r>
    </w:p>
    <w:p>
      <w:r>
        <w:rPr>
          <w:b/>
        </w:rPr>
        <w:t>E. 3.1</w:t>
      </w:r>
    </w:p>
    <w:p>
      <w:r>
        <w:t>Le recours doit être motivé (art. 396 al. 1 CPP) et indiquer précisément les motifs qui commandent une autre décision (art. 385 al. 1 let. b CPP). L'exigence de motivation du recours – qui a été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 1). Le recourant doit en tout état de cause exposer concrètement et spécifiquement en quoi la décision qu'il attaque contrevient aux motifs dont il se prévaut (CR CPP-CALAME,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(arrêt TF 6B_120/2016 du 20 juin 2016 consid. 3.1; voir aussi BSK StPO-ZIEGLER/KELLER, art. 385 n. 4).</w:t>
      </w:r>
    </w:p>
    <w:p>
      <w:r>
        <w:rPr>
          <w:b/>
        </w:rPr>
        <w:t>E. 3.2</w:t>
      </w:r>
    </w:p>
    <w:p>
      <w:r>
        <w:t>En l’espèce, si l’on comprend bien que le recourant n’est pas d’accord avec la décision querellée et s’il fait valoir la violation de diverses dispositions légales, on constate par contre qu’il ne prend pas de conclusions, de sorte que l’on ne sait pas ce qu’il veut véritablement dans le cadre de cette procédure pénale puisqu’il fait valoir à la fois que les médecins l’auraient rendu handicapé, que B.________ ne lui aurait pas fourni le dossier médical, que C.________ aurait négligé « la surveillance dans [l’]accompagnement du dossier » et qu’il conteste le montant de la rente qui est directement versée au service de l’aide sociale. De même, s’il conteste le constat du Ministère public selon lequel B.________ aurait fourni le dossier médical à son mandataire, il ne s’en prend pas aux autres éléments de la motivation de l’ordonnance querellée, ne tentant pas de démontrer en quoi le Ministère public se serait mépris sur ces points. Cela conduit à l’irrecevabilité du recours, sans procédure de régularisation.</w:t>
      </w:r>
    </w:p>
    <w:p>
      <w:r>
        <w:rPr>
          <w:b/>
        </w:rPr>
        <w:t>E. 4</w:t>
      </w:r>
    </w:p>
    <w:p>
      <w:r>
        <w:t>Cela étant, même recevable, le recours aurait dû être rejeté.</w:t>
      </w:r>
    </w:p>
    <w:p>
      <w:r>
        <w:rPr>
          <w:b/>
        </w:rPr>
        <w:t>E. 4.1</w:t>
      </w:r>
    </w:p>
    <w:p>
      <w:r>
        <w:t>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w:t>
      </w:r>
    </w:p>
    <w:p>
      <w:r>
        <w:t>Tribunal cantonal TC Page 4 de 5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 10 décem- bre 2013 consid. 1.4; arrêt TC/FR 502 2017 239 du 13 octobre 2017 consid. 2.1).</w:t>
      </w:r>
    </w:p>
    <w:p>
      <w:r>
        <w:rPr>
          <w:b/>
        </w:rPr>
        <w:t>E. 4.2</w:t>
      </w:r>
    </w:p>
    <w:p>
      <w:r>
        <w:t>En l’occurrence, le recourant n’apporte pas le début d’un élément probant pouvant faire penser qu’il a été victime d’une infraction pénale. Ses explications sont en partie peu ou pas com- préhensibles et on ne sait pas où il veut en venir exactement. S’il ressort des pièces produites en recours que son mandataire lui a bien indiqué le 25 mars 2019 que le courrier de B.________ du 10 novembre 2015 ne comprend pas « le dossier de l’opération du 8 octobre 2009 », ce qui n’est pas exclu vu les documents mentionnés au bas de la lettre du 10 novembre 2015, B.________ ayant du reste indiqué dans cette dernière adresser « copies des documents médicaux tels qu’ils nous ont été transmis par les services médicaux concernés », le recourant ne conteste pas l’affirmation de B.________ selon laquelle il (B.________) n’a pas connaissance d’autre(s) demande(s) d’accès au dossier médical émise(s) par le recourant – en particulier pour obtenir « le dossier de l’opération du 8 octobre 2009 » –, de sorte que l’on ne voit en l’état pas dans quelle mesure une infraction pénale pourrait être reprochée à l’hôpital, respectivement à ses médecins. En outre, le recourant est manifestement en possession, à tout le moins, du protocole opératoire du 8 octobre 2009 puisqu’il l’a produit dans le cadre de la procédure de recours. Quant aux reproches qu’il fait à C.________, ils n’ont, pour autant que compréhensibles, aucun caractère pénal. En ce qui concerne enfin les lésions corporelles graves par négligence sous-entendues par le recourant, elles ont fait l’objet de l’ordonnance de non-entrée en matière du 20 juillet 2018, le Ministère public ayant alors retenu qu’elles se prescrivent par 7 ans selon le droit en vigueur en 2009, de sorte que l’éventuelle infraction est prescrite depuis 2016, le plaignant ne fournissant au demeurant aucune indication sur ses problèmes de santé, respectivement les négligences dont il aurait été victime. Or, le recourant n’apporte aujourd’hui aucun nouvel élément permettant de reprendre la procédure préliminaire sur ce point. Comme la Chambre pénale l’a déjà relevé dans son arrêt du 14 novembre 2018 (502 2018 171 - 192), on comprend certes que le recourant vit une période difficile de sa vie, ce depuis des années, puisqu’il est sans revenu, soutenu par les services sociaux, et souffre dans sa chair. Cela n’implique toutefois pas l’existence d’infractions, ni la nécessité d’ouvrir une enquête pénale.</w:t>
      </w:r>
    </w:p>
    <w:p>
      <w:r>
        <w:rPr>
          <w:b/>
        </w:rPr>
        <w:t>E. 5</w:t>
      </w:r>
    </w:p>
    <w:p>
      <w:r>
        <w:t>Les frais de la procédure de recours (cf. art. 424 CPP, 33 ss et 43 RJ) doivent être mis à la charge du recourant en application de l'art. 428 al. 1 CPP. Pour tenir compte de la situation délicate de A.________, l’émolument est fixé au minimum légal, soit CHF 100.-, et les débours à CHF 50.-, le total de CHF 150.- étant prélevé sur le montant versé à titre de sûretés.</w:t>
      </w:r>
    </w:p>
    <w:p>
      <w:r>
        <w:t>Tribunal cantonal TC Page 5 de 5 la Chambre arrête : I. Le recours est irrecevable. II. Les frais judiciaires sont fixés à CHF 150.- (émolument: CHF 100.-; débours: CHF 50.-). Ils sont mis à la charge de A.________ et prélevés sur les sûretés prestées. Le solde (CHF 350.-) lui est restitué.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20 mai 2019/swo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