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87 vom 8. April 2019</w:t>
      </w:r>
    </w:p>
    <w:p>
      <w:r>
        <w:t>FR Kantonsgericht, 2019-04-08, DE</w:t>
      </w:r>
    </w:p>
    <w:p>
      <w:r>
        <w:rPr>
          <w:b/>
        </w:rPr>
        <w:t xml:space="preserve">Quelle: </w:t>
      </w:r>
      <w:r>
        <w:t>https://mcp.opencaselaw.ch/entscheid/fr_gerichte_502_2019_87</w:t>
      </w:r>
    </w:p>
    <w:p>
      <w:r>
        <w:t>FR: FR_GERICHTE 502 2019 87 du 8 avril 2019</w:t>
      </w:r>
    </w:p>
    <w:p>
      <w:r>
        <w:t>IT: FR_GERICHTE 502 2019 87 del 8 aprile 2019</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die Verfahrenshandlungen von Polizei, Staatsanwaltschaft und Übertretungsstrafbehörden (Art. 393 Abs. 1 lit. a StPO und Art. 85 Abs. 1 JG). Die Eröffnung einer Untersuchung ist hingegen nicht anfechtbar (Art. 309 Abs. 3 Satz 3 StPO). Die Eröffnungsverfügung entfaltet keine Rechtskraftwirkung in dem Sinn, dass die Staats- anwaltschaft bezüglich der Person des Beschuldigten oder der erwähnten Straftat an diese Verfü- gung gebunden wäre (SCHMID/JOSITSCH, Schweizerische Strafprozessordnung, 3. Aufl. 2018, Art. 309 N. 14). Die Beschwerde wird in einem schriftlichen Verfahren behandelt (Art. 397 Abs. 1 StPO).</w:t>
      </w:r>
    </w:p>
    <w:p>
      <w:r>
        <w:rPr>
          <w:b/>
        </w:rPr>
        <w:t>E. 1.2</w:t>
      </w:r>
    </w:p>
    <w:p>
      <w:r>
        <w:t>Der Beschwerdeführer beanstandet die angeordnete Blut- und Urinprobe nicht. Vielmehr rügt er, dass ihm im Befehl vom 11. März 2019 als Straftat die Vereitelung von Massnahmen zur Feststellung der Fahrunfähigkeit (Art. 91a Abs. 1 SVG) vorgeworfen wird. Er habe sich während der ganzen Untersuchung korrekt gegenüber den kontrollierenden Beamten verhalten und habe sich nicht widersetzt.</w:t>
      </w:r>
    </w:p>
    <w:p>
      <w:r>
        <w:t>Kantonsgericht KG Seite 3 von 4 Die Staatsanwaltschaft führt in ihrer Stellungnahme aus, es treffe zu, dass der Beschwerdeführer kooperiert habe und in keiner Weise die Massnahmen zur Feststellung der Fahrunfähigkeit verei- telt habe. Beim vermeintlichen Vorwurf der Vereitelung von Massnahmen zur Feststellung der Fahrunfähigkeit (Art. 91a Abs. 1 SVG) im Befehl vom 11. März 2019 handle es sich um einen Kanzleifehler. Die Beschwerde richtet sich demnach nicht gegen den Inhalt des Befehls (vgl. Untersuchung der Person), sondern gegen die (vermeintliche) Eröffnung einer Untersuchung wegen angeblicher Vereitelung von Massnahmen zur Feststellung der Fahrunfähigkeit. Wie erwähnt, ist der Staatsan- waltschaft diesbezüglich ein Fehler unterlaufen und es wurde keine solche Untersuchung eröffnet. Überdies ist eine Eröffnungsverfügung so oder anders nicht anfechtbar. Auf die Beschwerde ist demnach nicht einzutreten.</w:t>
      </w:r>
    </w:p>
    <w:p>
      <w:r>
        <w:rPr>
          <w:b/>
        </w:rPr>
        <w:t>E. 2.1</w:t>
      </w:r>
    </w:p>
    <w:p>
      <w:r>
        <w:t>Gemäss Art. 428 Abs. 1 StPO tragen die Parteien die Kosten des Rechtsmittelverfahrens nach Massgabe ihres Obsiegens oder Unterliegens. Als unterliegend gilt auch die Partei, auf deren Rechtsmittel nicht eingetreten wird oder die das Rechtsmittel zurückzieht. Die beschuldigte Person trägt die Verfahrenskosten nicht, die der Bund oder der Kanton durch unnötige oder fehlerhafte Verfahrenshandlungen verursacht hat (Art. 426 Abs. 3 lit. a StPO). Diese müssen bei objektiver Betrachtungsweise schon im Voraus unnötig oder fehlerhaft sein. Die angefallenen Kosten sind in diesem Fall nicht mehr adäquate Folge der Straftat. Das ist beispielsweise der Fall wenn eine Behörde einen materiell- oder verfahrensrechtlichen Verstoss begangen hat, der im Rechtsmittel- verfahren korrigiert werden muss, oder wenn wegen Formfehlern Verfahrenshandlungen wieder- holt werden müssen (Urteil BGer 6B_1255/2016 vom 24. Mai 2017 E. 1.3 mit Hinweisen).</w:t>
      </w:r>
    </w:p>
    <w:p>
      <w:r>
        <w:rPr>
          <w:b/>
        </w:rPr>
        <w:t>E. 2.2</w:t>
      </w:r>
    </w:p>
    <w:p>
      <w:r>
        <w:t>Die Staatsanwaltschaft führt in ihrer Stellungnahme aus, beim vermeintlichen Vorwurf der Vereitelung von Massnahmen zur Feststellung der Fahrunfähigkeit handle es sich um einen Kanz- leifehler. Demgegenüber sei in der Eröffnungsverfügung richtigerweise der Tatbestand des Fahrens in fahrunfähigem Zustand aufgeführt. Die Eröffnungsverfügung sei dem Beschuldigten allerdings nicht zugestellt worden. Aus diesem Grund seien die Kosten des Beschwerdeverfahrens dem Staat aufzuerlegen.</w:t>
      </w:r>
    </w:p>
    <w:p>
      <w:r>
        <w:rPr>
          <w:b/>
        </w:rPr>
        <w:t>E. 2.3</w:t>
      </w:r>
    </w:p>
    <w:p>
      <w:r>
        <w:t>Als unterliegende Partei hat grundsätzlich der Beschwerdeführer die Kosten des Beschwer- deverfahrens zu tragen. Vorliegend ist jedoch die Beschwerde auf einen Kanzleifehler der Staats- anwaltschaft zurückzuführen. Da die Eröffnungsverfügung gestützt auf Art. 309 Abs. 3 Satz 2 StPO dem Beschwerdeführer nicht eröffnet wurde, konnte er nicht wissen, dass in dieser als Tatbestand nicht die Vereitelung von Massnahmen zur Feststellung der Fahrunfähigkeit, sondern das Fahren in fahrunfähigem Zustand (Motorfahrzeug / andere Gründe) und Übertretung nach Art. 19a des Betäubungsmittelgesetzes festgehalten ist. Zu berücksichtigen ist auch, dass es sich beim Beschwerdeführer um einen Laien handelt und er daher kaum wissen konnte, dass die Staatsan- waltschaft nicht an den im Befehl vom 11. März 2019 festgehaltenen Tatbestand gebunden ist. Obwohl die Kosten des Beschwerdeverfahrens nicht unmittelbar durch den Kanzleifehler entstan- den sind, rechtfertigt es sich in Anbetracht der Umstände des vorliegenden Falles, die Kosten dem Staat Freiburg aufzuerlegen. Sie werden auf CHF 400.- (Gerichtsgebühr: CHF 300.-; Auslagen: CHF 100.-) festgesetzt.</w:t>
      </w:r>
    </w:p>
    <w:p>
      <w:r>
        <w:t>Kantonsgericht KG Seite 4 von 4 Die Kammer erkennt: I. Auf die Beschwerde wird nicht eingetreten. II. Die Kosten des Beschwerdeverfahrens werden auf CHF 400.- (Gerichtsgebühr: CHF 300.-; Auslagen: CHF 100.-) festgesetzt und dem Staat Freiburg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8. April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