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8 vom 30. Januar 2019</w:t>
      </w:r>
    </w:p>
    <w:p>
      <w:r>
        <w:t>FR Kantonsgericht, 2019-01-30, FR</w:t>
      </w:r>
    </w:p>
    <w:p>
      <w:r>
        <w:rPr>
          <w:b/>
        </w:rPr>
        <w:t xml:space="preserve">Quelle: </w:t>
      </w:r>
      <w:r>
        <w:t>https://mcp.opencaselaw.ch/entscheid/fr_gerichte_502_2019_8</w:t>
      </w:r>
    </w:p>
    <w:p>
      <w:r>
        <w:t>FR: FR_GERICHTE 502 2019 8 du 30 janvier 2019</w:t>
      </w:r>
    </w:p>
    <w:p>
      <w:r>
        <w:t>IT: FR_GERICHTE 502 2019 8 del 30 gennaio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2019 8 Arrêt du 30 janvier 2019 Chambre pénale Composition Président : Laurent Schneuwly Juges : Jérôme Delabays, Sandra Wohlhauser Greffière : Elsa Gendre Parties A.________, recourant contre MINISTERE PUBLIC, intimé et B.________, intimé Objet Non-entrée en matière (art. 310 CPP) - retrait Recours du 21 janvier 2019 contre l'ordonnance du Ministère public du 16 janvier 2019</w:t>
      </w:r>
    </w:p>
    <w:p>
      <w:r>
        <w:t>Tribunal cantonal TC Page 2 de 2 attendu que A.________ a retiré le 27 janvier 2019 le recours qu’il avait formé le 21 janvier 2019 contre l’ordonnance de non-entrée en matière rendue le 16 janvier 2019 par le Ministère public; qu’il en sera pris acte, la cause étant rayée du rôle; que les frais de la procédure de recours sont fixés à CHF 150.- (émoluments : CHF 100.- ; débours : CHF 50.-) et sont mis à la charge du recourant (art. 422 ss et 428 al. 1 CPP, 33 ss Règlement sur la justice). la Chambre arrête : I. Il est pris acte du retrait du recours. Partant, la cause est rayée du rôle. II. Les frais de la procédure de recours sont fixés à CHF 150.- (émoluments : CHF 100.- ; débours : CHF 50.-) et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janvier 2019/lsc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