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74 vom 2. April 2019</w:t>
      </w:r>
    </w:p>
    <w:p>
      <w:r>
        <w:t>FR Kantonsgericht, 2019-04-02, FR</w:t>
      </w:r>
    </w:p>
    <w:p>
      <w:r>
        <w:rPr>
          <w:b/>
        </w:rPr>
        <w:t xml:space="preserve">Quelle: </w:t>
      </w:r>
      <w:r>
        <w:t>https://mcp.opencaselaw.ch/entscheid/fr_gerichte_502_2019_74</w:t>
      </w:r>
    </w:p>
    <w:p>
      <w:r>
        <w:t>FR: FR_GERICHTE 502 2019 74 du 2 avril 2019</w:t>
      </w:r>
    </w:p>
    <w:p>
      <w:r>
        <w:t>IT: FR_GERICHTE 502 2019 74 del 2 aprile 2019</w:t>
      </w:r>
    </w:p>
    <w:p>
      <w:pPr>
        <w:pStyle w:val="Heading2"/>
      </w:pPr>
      <w:r>
        <w:t>Regeste</w:t>
      </w:r>
    </w:p>
    <w:p>
      <w:r>
        <w:t>Arrêt de la Chambre pénale du Tribunal cantonal | Amtliche Verteidigung (Art. 132 f. StPO; 143 JG)</w:t>
      </w:r>
    </w:p>
    <w:p>
      <w:pPr>
        <w:pStyle w:val="Heading2"/>
      </w:pPr>
      <w:r>
        <w:t>Erwägungen</w:t>
      </w:r>
    </w:p>
    <w:p>
      <w:r>
        <w:rPr>
          <w:b/>
        </w:rPr>
        <w:t>E. 1.1</w:t>
      </w:r>
    </w:p>
    <w:p>
      <w:r>
        <w:t>La décision du Ministère public refusant de désigner un défenseur d’office au sens de l’art. 132 CPP peut faire l’objet d’un recours aux conditions des art. 393 ss CPP (PC CPP, 2e éd., 2016, art. 132 CPP n. 18), devant l’autorité de recours qui est dans le canton de Fribourg, la Chambre</w:t>
      </w:r>
    </w:p>
    <w:p>
      <w:r>
        <w:t>Tribunal cantonal TC Page 3 de 5 pénale du Tribunal cantonal (art. 20 al. 1 CPP ; art. 85 al. 1 de la loi du 31 mai 2010 sur la justice [LJ; RSF 130.1]).</w:t>
      </w:r>
    </w:p>
    <w:p>
      <w:r>
        <w:rPr>
          <w:b/>
        </w:rPr>
        <w:t>E. 1.2</w:t>
      </w:r>
    </w:p>
    <w:p>
      <w:r>
        <w:t>Directement atteint dans ses droits procéduraux, le recourant a un intérêt juridiquement protégé à la modification de la décision relative à sa défense d'office et possède dès lors la qualité pour recourir au sens de l’art. 382 al. 1 CPP.</w:t>
      </w:r>
    </w:p>
    <w:p>
      <w:r>
        <w:rPr>
          <w:b/>
        </w:rPr>
        <w:t>E. 1.3</w:t>
      </w:r>
    </w:p>
    <w:p>
      <w:r>
        <w:t>Déposé à un office postal le 7 mars 2019, le recours contre la décision attaquée datée du 27 février 2019 et notifiée le 28 février 2019 respecte le délai de dix jours prévu à l’art. 396 al. 1 CPP. Il est en outre doté de conclusions et motivé (art. 385 al. 1 et 396 al. 1 CPP).</w:t>
      </w:r>
    </w:p>
    <w:p>
      <w:r>
        <w:rPr>
          <w:b/>
        </w:rPr>
        <w:t>E. 1.4</w:t>
      </w:r>
    </w:p>
    <w:p>
      <w:r>
        <w:t>La Chambre statue en procédure écrite (art. 397 al. 1 CPP).</w:t>
      </w:r>
    </w:p>
    <w:p>
      <w:r>
        <w:rPr>
          <w:b/>
        </w:rPr>
        <w:t>E. 2.1</w:t>
      </w:r>
    </w:p>
    <w:p>
      <w:r>
        <w:t>L'indigence du recourant n’est pas contestée. Il s'agit donc uniquement de déterminer si la défense des intérêts de A.________ justifie qu’il soit défendu par un avocat, ce que le Ministère public a nié.</w:t>
      </w:r>
    </w:p>
    <w:p>
      <w:r>
        <w:rPr>
          <w:b/>
        </w:rPr>
        <w:t>E. 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(arrêts TF 1B_173/2014 du 17 juillet 2014 consid. 3.1.1.;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6B_578/2014 du 20 novembre 2014 consid. 3.2.1).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(arrêt TF 6B_122/2013 du 11 juillet 2013 consid. 4.1.2 et références citées). Pour évaluer si l'affaire présente des difficultés que la partie plaignante ne pourrait pas surmonter sans l'aide d'un avocat, il y a lieu d'apprécier l'ensemble des circonstances concrètes. Il faut tenir</w:t>
      </w:r>
    </w:p>
    <w:p>
      <w:r>
        <w:t>Tribunal cantonal TC Page 4 de 5 compte notamment des intérêts en jeu, de la complexité de la cause en fait et en droit, des circonstances personnelles du demandeur, de ses connaissances linguistiques, de son âge, de sa situation sociale et de son état de santé (ATF 123 I 145 consid. 2b/cc; pour plus de détails sur ces critères: RFJ 2012 p. 239 ss).</w:t>
      </w:r>
    </w:p>
    <w:p>
      <w:r>
        <w:rPr>
          <w:b/>
        </w:rPr>
        <w:t>E. 2.3</w:t>
      </w:r>
    </w:p>
    <w:p>
      <w:r>
        <w:t>En l'espèce, d'après le recourant, la désignation d'un avocat est non seulement subjectivement nécessaire en raison de ses difficultés personnelles (résidence à l'étranger, difficulté de compréhension) mais elle est également objectivement nécessaire du fait de la procédure, notamment pour la formulation des conclusions civiles en lien avec la gravité des blessures. Ce point de vue ne saurait être suivi. La cause ne présente en effet pas de difficultés importantes. Les faits sont simples: il s’agira de déterminer s’il est démontré que A.________ est tombé dans les escaliers parce qu’il a été poussé, cas échéant s’il est prouvé que c’est alors B.________ qui l’a fait. Savoir si les lésions étaient graves ou simples sera tranché par le Ministère public et répondre à cette question semble aisé. Quant aux prétentions civiles que A.________ pourrait faire valoir – point déterminant sous l’angle de l’art. 136 CPP – une perte de gain ou une atteinte à l’avenir économique ne semblent pas entrer en considération, le recourant étant au bénéfice d’une rente entière d’invalidité. A.________ ne le prétend du reste pas dans son recours. Tout au plus un tort moral pourrait être formulé et ce point ne nécessite en l’espèce pas l’assistance d’un avocat; décider le contraire reviendrait à justifier l’assistance d’un mandataire professionnel envers presque chaque partie plaignante en présence d’une infraction à l’intégrité corporelle. S’agissant des circonstances personnelles du recourant, elles ne justifient pas d’appliquer plus largement l’art. 136 CPP. Il vit certes à l’étranger mais bénéficie d’une adresse de notification en Suisse (cf. PV du 17 janvier 2019 DO 2000) et la disposition légale précitée n’a quoi qu’il en soit pas pour but d’accorder un avocat d’office à un plaignant pour faciliter la notification d’actes judiciaires. A.________ n’apparaît par ailleurs pas démuni face à la procédure; il a déposé plainte pénale seul et a ensuite donné aux policiers sa version des faits, manifestement sans difficulté. Dans son recours, il insiste sur ses problèmes à lire et à comprendre les documents du dossier pénal. Cela étant, il s’exprime couramment en français et maîtrise dès lors la langue de la procédure, de sorte que la désignation d’un avocat d’office ne se justifie pas non plus à ce titre. Et les difficultés subjectives avancées par A.________ doivent être examinées en fonction des difficultés objectives de la cause, difficultés en l’occurrence inexistantes. Le grief doit donc être rejeté.</w:t>
      </w:r>
    </w:p>
    <w:p>
      <w:r>
        <w:rPr>
          <w:b/>
        </w:rPr>
        <w:t>E. 3</w:t>
      </w:r>
    </w:p>
    <w:p>
      <w:r>
        <w:t>La désignation d'un conseil gratuit étant refusée, il n'est pas nécessaire d'analyser si le recourant revêt la qualité de victime LAVI qui lui aurait permis d'être dispensé de rembourser les frais de l'assistance gratuite d'un défenseur au sens de l'art. 30 al. 3 LAVI.</w:t>
      </w:r>
    </w:p>
    <w:p>
      <w:r>
        <w:rPr>
          <w:b/>
        </w:rPr>
        <w:t>E. 4</w:t>
      </w:r>
    </w:p>
    <w:p>
      <w:r>
        <w:t>Les frais de la procédure de recours, arrêtés à CHF 300.- (émolument: CHF 250.-; débours: CHF 50.-) sont mis à la charge du recourant (art. 428 CPP). Il n'est pas alloué d'indemnité équitable au recourant qui succombe.</w:t>
      </w:r>
    </w:p>
    <w:p>
      <w:r>
        <w:t>Tribunal cantonal TC Page 5 de 5 la Chambre arrête : I. Le recours est rejeté. Partant, la décision du Ministère public du 27 février 2019 refusant la désignation d’un mandataire gratuit est confirmée. II. Les frais de la procédure de recours fixés à CHF 300.- (émolument: CHF 250.-;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avril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