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62 vom 7. Mai 2019</w:t>
      </w:r>
    </w:p>
    <w:p>
      <w:r>
        <w:t>FR Kantonsgericht, 2019-05-07, FR</w:t>
      </w:r>
    </w:p>
    <w:p>
      <w:r>
        <w:rPr>
          <w:b/>
        </w:rPr>
        <w:t xml:space="preserve">Quelle: </w:t>
      </w:r>
      <w:r>
        <w:t>https://mcp.opencaselaw.ch/entscheid/fr_gerichte_502_2019_62</w:t>
      </w:r>
    </w:p>
    <w:p>
      <w:r>
        <w:t>FR: FR_GERICHTE 502 2019 62 du 7 mai 2019</w:t>
      </w:r>
    </w:p>
    <w:p>
      <w:r>
        <w:t>IT: FR_GERICHTE 502 2019 62 del 7 maggio 2019</w:t>
      </w:r>
    </w:p>
    <w:p>
      <w:pPr>
        <w:pStyle w:val="Heading2"/>
      </w:pPr>
      <w:r>
        <w:t>Regeste</w:t>
      </w:r>
    </w:p>
    <w:p>
      <w:r>
        <w:t>Arrêt de la Chambre pénale du Tribunal cantonal | Nichtanhandnahme (Art. 310 StPO)</w:t>
      </w:r>
    </w:p>
    <w:p>
      <w:pPr>
        <w:pStyle w:val="Heading2"/>
      </w:pPr>
      <w:r>
        <w:t>Erwägungen</w:t>
      </w:r>
    </w:p>
    <w:p>
      <w:r>
        <w:rPr>
          <w:b/>
        </w:rPr>
        <w:t>E. 1</w:t>
      </w:r>
    </w:p>
    <w:p>
      <w:r>
        <w:t>Un conflit oppose A.________, d’une part, à son épouse, C.________, la sœur de cette dernière, B.________, et D.________, d’autre part. Leurs différends font l’objet de plusieurs plaintes pénales. Pour sa part, A.________ a déposé plainte pénale le 9 janvier 2018 contre B.________ pour diffamation, subsidiairement calomnie, lui reprochant d'avoir déclaré à la Police, le 1er décembre 2017, qu'il l'avait menacée de mort en disant qu'il la couperait en morceaux. Le 2 juillet 2018, il a déposé une nouvelle plainte pénale contre B.________ pour voies de fait et menaces, expliquant que l’épouse et sa sœur l'avaient agressé dans la nuit du 30 juin 2018, en particulier B.________ en lui tirant le t-shirt, le griffant au niveau du cou et du bras, lui assénant des coups de pied et le menaçant de le tuer.</w:t>
      </w:r>
    </w:p>
    <w:p>
      <w:r>
        <w:rPr>
          <w:b/>
        </w:rPr>
        <w:t>E. 2</w:t>
      </w:r>
    </w:p>
    <w:p>
      <w:r>
        <w:t>Le 11 février 2019, le Ministère public a rendu une ordonnance de non-entrée en matière en relation avec ces deux plaintes pénales, frais à charge de l'Etat.</w:t>
      </w:r>
    </w:p>
    <w:p>
      <w:r>
        <w:rPr>
          <w:b/>
        </w:rPr>
        <w:t>E. 3</w:t>
      </w:r>
    </w:p>
    <w:p>
      <w:r>
        <w:t>Par acte daté du 19 février 2019 et remis à la Poste le lendemain, A.________ a interjeté recours contre l'ordonnance de non-entrée en matière susmentionnée auprès du Ministère public, lequel a transmis l’acte le 28 février 2019 à la Chambre pénale comme objet de sa compétence. Le 25 mars 2019, le Ministère public a indiqué renoncer à déposer une détermination sur le recours de A.________ et se référer aux considérants de l'ordonnance de non-entrée en matière du 11 février 2019.</w:t>
      </w:r>
    </w:p>
    <w:p>
      <w:r>
        <w:rPr>
          <w:b/>
        </w:rPr>
        <w:t>E. 4</w:t>
      </w:r>
    </w:p>
    <w:p>
      <w:r>
        <w:t>La voie du recours à la Chambre pénale est ouverte contre les décisions et actes de procédure du Ministère public (art. 393 al. 1 let. a et 20 al. 1 let. b CPP, en relation avec les art. 64 let. c et 85 al. 1 LJ), soit comme en l'espèce contre une ordonnance de non-entrée en matière prononcée par le Ministère public en application des art. 310 al. 2 et 322 al. 2 CPP. Le recours doit être adressé par écrit, dans un délai de dix jours dès la notification de la décision attaquée (art. 384 let. b CPP). En l'espèce, le recours interjeté le 20 février 2019 contre l'ordonnance du 11 février 2019, notifiée au plus tôt le 12 février 2019, a été déposé dans le délai légal (art. 322 al. 2 et 396 al. 1 CPP). La Chambre pénale statue sans débats (art. 397 al. 1 CPP).</w:t>
      </w:r>
    </w:p>
    <w:p>
      <w:r>
        <w:rPr>
          <w:b/>
        </w:rPr>
        <w:t>E. 5</w:t>
      </w:r>
    </w:p>
    <w:p>
      <w:r>
        <w:t>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w:t>
      </w:r>
    </w:p>
    <w:p>
      <w:r>
        <w:t>Tribunal cantonal TC Page 3 de 4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(arrêt TF 6B_120/2016 du 20 juin 2016 consid. 3.1; voir aussi BSK StPO-ZIEGLER/KELLER, art. 385 n. 4).</w:t>
      </w:r>
    </w:p>
    <w:p>
      <w:r>
        <w:rPr>
          <w:b/>
        </w:rPr>
        <w:t>E. 6</w:t>
      </w:r>
    </w:p>
    <w:p>
      <w:r>
        <w:t>En l’espèce, le recourant n’a pas pris de conclusions, si ce n’est qu’il remercie l’autorité par avance de la suite légale qu’elle voudra bien donner au recours. S’agissant de la motivation, il a indiqué ceci: « 1. B.________ a menti lors de sa déposition au près de la police en disant que sa sœur était venue en Suisse pour faire des études et qu’elle a été obligé de se marier après avoir découvert sa grossesse. Tout comme cette histoire de bouteille de vin qui a été inventé de toutes pièces. D’ailleurs le rapport du procureur dit clairement « Il ne peut être exclu que B.________ a voulu aider sa sœur en faisant des déclarations allant dans son sens ». 2. Il y a aussi cette histoire de menaces et d’injures par téléphone qui se sont révélées être fausse et il à même été prouvé que c’est elle qui m’a appelé deux semaines après avoir porté plainte, soit le 14 décembre 2017, alors qu’elle a expliqué à la police avoir très peur de moi. Cela prouve qu’elle a menti lors d’une déposition officielle » [sic]).</w:t>
      </w:r>
    </w:p>
    <w:p>
      <w:r>
        <w:rPr>
          <w:b/>
        </w:rPr>
        <w:t>E. 7</w:t>
      </w:r>
    </w:p>
    <w:p>
      <w:r>
        <w:t>Tout d’abord, on constate que le recourant ne s’en prend pas à l’ordonnance querellée s’agissant de sa plainte pénale du 2 juillet 2018 (voies de fait et menaces). Sur ce point, l’ordonnance de non-entrée en matière du 11 février 2019 est ainsi maintenue.</w:t>
      </w:r>
    </w:p>
    <w:p>
      <w:r>
        <w:rPr>
          <w:b/>
        </w:rPr>
        <w:t>E. 8</w:t>
      </w:r>
    </w:p>
    <w:p>
      <w:r>
        <w:t>En ce qui concerne ensuite la plainte pénale du 9 janvier 2018, il convient de rappeler que le recourant l’a déposée car l’intimée aurait déclaré à la Police qu’il l’avait menacée de mort, en la coupant en morceaux, estimant que ces accusations sont de nature à léser sa réputation et son honneur, en remettant en cause son honnêteté et son intégrité (DO 58). Dans l’ordonnance querellée, le Ministère public a indiqué qu’il n’a pas été retenu que l’intimée avait menti à ce sujet, mais que les faits ne pouvaient pas être établis – d’où le prononcé d’une ordonnance de non- entrée en matière également en relation avec la plainte pénale déposée par l’intimée contre le recourant –, de sorte que l’infraction de diffamation/calomnie ne pouvait pas entrer en ligne de compte.</w:t>
      </w:r>
    </w:p>
    <w:p>
      <w:r>
        <w:t>Tribunal cantonal TC Page 4 de 4 Dans son pourvoi, le recourant fait, d’une part, état d’autres faits, respectivement d’autres déclarations prétendument mensongères de l’intimée qui ne figurent ni dans la plainte pénale du</w:t>
      </w:r>
    </w:p>
    <w:p>
      <w:r>
        <w:rPr>
          <w:b/>
        </w:rPr>
        <w:t>E. 9</w:t>
      </w:r>
    </w:p>
    <w:p>
      <w:r>
        <w:t>Vu le sort du recours, les frais de la présente procédure, fixés à CHF 300.- (émolument : CHF 200.-; débours: CHF 100.-), doivent être mis à la charge du recourant (art. 428 al. 1 CPP). Ils seront prélevés sur l'avance de frais prestée, le solde étant restitué au recourant. la Chambre arrête : I. Le recours est irrecevable. II. Les frais de la procédure de recours sont fixés à CHF 300.- (émolument: CHF 200.-; débours: CHF 100.-) et sont mis à la charge de A.________. Ils seront prélevés sur les sûretés prestées, le solde (CHF 200.-) lui étant restitué.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mai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