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52 vom 27. März 2019</w:t>
      </w:r>
    </w:p>
    <w:p>
      <w:r>
        <w:t>FR Kantonsgericht, 2019-03-27, FR</w:t>
      </w:r>
    </w:p>
    <w:p>
      <w:r>
        <w:rPr>
          <w:b/>
        </w:rPr>
        <w:t xml:space="preserve">Quelle: </w:t>
      </w:r>
      <w:r>
        <w:t>https://mcp.opencaselaw.ch/entscheid/fr_gerichte_502_2019_52</w:t>
      </w:r>
    </w:p>
    <w:p>
      <w:r>
        <w:t>FR: FR_GERICHTE 502 2019 52 du 27 mars 2019</w:t>
      </w:r>
    </w:p>
    <w:p>
      <w:r>
        <w:t>IT: FR_GERICHTE 502 2019 52 del 27 marzo 2019</w:t>
      </w:r>
    </w:p>
    <w:p>
      <w:pPr>
        <w:pStyle w:val="Heading2"/>
      </w:pPr>
      <w:r>
        <w:t>Regeste</w:t>
      </w:r>
    </w:p>
    <w:p>
      <w:r>
        <w:t>Arrêt de la Chambre pénale du Tribunal cantonal | Strafrecht</w:t>
      </w:r>
    </w:p>
    <w:p>
      <w:pPr>
        <w:pStyle w:val="Heading2"/>
      </w:pPr>
      <w:r>
        <w:t>Erwägungen</w:t>
      </w:r>
    </w:p>
    <w:p>
      <w:r>
        <w:rPr>
          <w:b/>
        </w:rPr>
        <w:t>E. 23</w:t>
      </w:r>
    </w:p>
    <w:p>
      <w:r>
        <w:t>janvier 2019, le recours respecte ce délai. Le fait que le pourvoi ait été adressé au Ministère public et non pas à la Chambre pénale n’emporte aucun préjudice au recourant (BSK StPO- GUIDON, 2e éd. 2014, art. 396 n. 15). 1.3. Ayant un intérêt juridiquement protégé à l’annulation ou à la modification de la décision attaquée, A.________ a indéniablement qualité pour recourir (art. 382 al. 1 CPP). 1.4. Le recours fait l’objet d’une procédure écrite (art. 397 al. 1 CPP). 2. 2.1.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Les actes accomplis après l’écoulement du délai de recours sont sans effet, sous réserve de la remise irrégulière, de la restitution ou de la fixation d’un délai pour remédier à une irrégularité (CR CPP-CALAME, art. 384 n. 4).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la lettre du recourant du 28 janvier 2019 bien qu’intitulée «recours » consiste uniquement à sa prise de position sans qu’il n’entame la critique des motifs retenus dans la décision attaquée, ni ne prenne de conclusions. Toutefois, afin de s’assurer que le recourant, non assisté d’un mandataire, ait bien compris les incidences d’un recours, notamment les frais que cela pourrait engendrer, un délai lui a été imparti uniquement pour confirmer que son écrit devait bien être compris comme un recours. C’est d’ailleurs ainsi que son courrier du 28 janvier 2019 ne lui a pas été renvoyé. Le 5 mars 2019, soit hors le délai fixé, le recourant, non seulement a indiqué que sa lettre du 28 janvier 2019 devait être considérée comme un recours, mais également a complété et précisé dite missive. Dans la mesure où le complément du recours est intervenu hors le délai de recours, il n’en sera pas tenu compte et seuls seront examinés les motifs évoqués dans la lettre du</w:t>
      </w:r>
    </w:p>
    <w:p>
      <w:r>
        <w:rPr>
          <w:b/>
        </w:rPr>
        <w:t>E. 28</w:t>
      </w:r>
    </w:p>
    <w:p>
      <w:r>
        <w:t>janvier 2019.</w:t>
      </w:r>
    </w:p>
    <w:p>
      <w:r>
        <w:t>Tribunal cantonal TC Page 4 de 4 2.2. Comme relevé ci-dessus (cf. consid. 2.1), dans sa missive du 28 janvier 2019, le recourant se borne à exposer son point de vue et à se questionner, sans indiquer ce qu’il veut par son recours. Il ne s’en prend ainsi pas aux motifs qui ont amené au prononcé de la décision attaquée, ni ne prend de conclusion. 2.3. Partant, le recours devra être déclaré irrecevable dans la mesure où il ne respecte pas les exigences de motivation telles que rapportées ci-devant (cf. consid. 2.1). 3. Il n’en irait pas différemment si la détermination spontanée du recourant du 5 mars 2019 devait être examinée. En effet, en ledit complément, sous le couvert des termes « motifs et conclusions », A.________ continue à donner sa position et son appréciation, tout en admettant cependant consommer occasionnellement des stupéfiants, sans jamais indiquer clairement en quoi la décision querellée n’aurait pas dû être rendue. 4. Même à admettre que le recours aurait été recevable, il aurait dû être rejeté. En effet, d’une part, les agents ont constaté lors des vérifications d’usage que le recourant présentait des signes d’une consommation récente de stupéfiants (teint blême) et qu’il y avait une légère odeur de marijuana qui émanait de l’habitacle du véhicule. D’autre part, le recourant a lui-même reconnu avoir consommé un joint de marijuana dans la soirée précédente et a accepté qu’une prise de sang et d’urine soit effectuée en signant la formule de confirmation du mandat de prélèvement et d’analyses à lui présentée par les agents. 5. Les frais de la procédure de recours, arrêtés à CHF 400.- (émolument: CHF 350.-; débours: CHF 50.-), seront à la charge du recourant qui succombe (art. 428 al. 1 CPP). la Chambre arrête : I. Le recours est irrecevable. II. Les frais de la procédure de recours, arrêtés à CHF 400.- (émolument: CHF 350.-;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mars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