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283 vom 17. Oktober 2019</w:t>
      </w:r>
    </w:p>
    <w:p>
      <w:r>
        <w:t>FR Kantonsgericht, 2019-10-17, FR</w:t>
      </w:r>
    </w:p>
    <w:p>
      <w:r>
        <w:rPr>
          <w:b/>
        </w:rPr>
        <w:t xml:space="preserve">Quelle: </w:t>
      </w:r>
      <w:r>
        <w:t>https://mcp.opencaselaw.ch/entscheid/fr_gerichte_502_2019_283</w:t>
      </w:r>
    </w:p>
    <w:p>
      <w:r>
        <w:t>FR: FR_GERICHTE 502 2019 283 du 17 octobre 2019</w:t>
      </w:r>
    </w:p>
    <w:p>
      <w:r>
        <w:t>IT: FR_GERICHTE 502 2019 283 del 17 ottobre 2019</w:t>
      </w:r>
    </w:p>
    <w:p>
      <w:pPr>
        <w:pStyle w:val="Heading2"/>
      </w:pPr>
      <w:r>
        <w:t>Regeste</w:t>
      </w:r>
    </w:p>
    <w:p>
      <w:r>
        <w:t>Arrêt de la Chambre pénale du Tribunal cantonal | Nichtanhandnahme (Art. 310 StPO)</w:t>
      </w:r>
    </w:p>
    <w:p>
      <w:pPr>
        <w:pStyle w:val="Heading2"/>
      </w:pPr>
      <w:r>
        <w:t>Erwägungen</w:t>
      </w:r>
    </w:p>
    <w:p>
      <w:r>
        <w:rPr>
          <w:b/>
        </w:rPr>
        <w:t>E. 1</w:t>
      </w:r>
    </w:p>
    <w:p>
      <w:r>
        <w:t>Par courrier du 19 juillet 2019, A.________ a déposé plainte pénale pour tentative de violation de domicile à l’encontre d'inconnus qui auraient forcé le cylindre de sa porte. Cette plainte concerne en outre le Sgt B.________ qui serait intervenu sur place pour dresser un constat, mais également sept employés de l'Etat de Fribourg comme la curatrice, un maître chanteur qui n'a pas été identifié, la Juge de paix et une de ses collaboratrices, et les personnes qui sont responsables de son placement à l’hôpital de Marsens.</w:t>
      </w:r>
    </w:p>
    <w:p>
      <w:r>
        <w:rPr>
          <w:b/>
        </w:rPr>
        <w:t>E. 2</w:t>
      </w:r>
    </w:p>
    <w:p>
      <w:r>
        <w:t>Par ordonnance du 2 octobre 2019, le Ministère public a suspendu la procédure pénale ouverte contre inconnu pour tentative de violation de domicile. Pour le surplus, il n’est pas entré en matière sur le courrier du 19 juillet 2019, frais à la charge de l’Etat. Il a retenu qu’hormis la tentative de violation de domicile éventuellement commise par des incon- nus, les éléments constitutifs d'autres infractions ne sont pas remplis (art. 310 al. 1 let. a CPP). La plainte pénale est pour le moins confuse; A.________ se plaint essentiellement de sa mise sous curatelle et des conséquences y relatives. Des décisions judiciaires ont déjà été rendues à ce sujet, notamment le 13 août 2019 par le Ministère public. Concernant l'effraction et suite aux opérations effectuées jusqu'à ce jour, l'auteur et son lieu de séjour sont demeurés inconnus (art. 314 al. 1 let. a CPP). S’agissant des autres volets, il n'y a pas lieu de donner d'autres suites à la procédure.</w:t>
      </w:r>
    </w:p>
    <w:p>
      <w:r>
        <w:rPr>
          <w:b/>
        </w:rPr>
        <w:t>E. 3</w:t>
      </w:r>
    </w:p>
    <w:p>
      <w:r>
        <w:t>Le 8 octobre 2019, A.________ s’est adressé au Ministère public pour se plaindre de l’ordonnance de suspension. Le 15 octobre 2019, cette autorité a transmis le courrier à la Chambre pénale comme objet de sa compétence.</w:t>
      </w:r>
    </w:p>
    <w:p>
      <w:r>
        <w:rPr>
          <w:b/>
        </w:rPr>
        <w:t>E. 4.1</w:t>
      </w:r>
    </w:p>
    <w:p>
      <w:r>
        <w:t>Le recours doit être motivé (art. 396 al. 1 CPP) et indiquer précisément des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w:t>
      </w:r>
    </w:p>
    <w:p>
      <w:r>
        <w:t>Tribunal cantonal TC Page 3 de 3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art. 385 n. 3-4).</w:t>
      </w:r>
    </w:p>
    <w:p>
      <w:r>
        <w:rPr>
          <w:b/>
        </w:rPr>
        <w:t>E. 4.2</w:t>
      </w:r>
    </w:p>
    <w:p>
      <w:r>
        <w:t>En l'occurrence, si l'on comprend que le recourant n'accepte pas l'ordonnance de suspen- sion, estimant que le ou les auteurs ne sont pas inconnus, il ne motive absolument pas son re- cours, en ce sens qu'il n’explique pas en quoi le Ministère public aurait violé le droit en retenant que « suite aux opérations effectuées jusqu’à ce jour, l’auteur et son lieu de séjour sont demeurés inconnus ». En particulier, s’il soutient que le ou les auteurs ne sont « absolument pas » inconnus, il n’indique pas de qui il pourrait s’agir, se bornant à relever qu’il faut commencer l’enquête auprès de la Justice de paix ou à se référer à « un recours à la justice cantonale » (cf. ég. « […] permettra de connaître beaucoup de choses » […] « en analysant mon recours, les réponses viennent tout seul. Mon métier m’a permis de faire les enquêtes les plus complexes »). En l'absence de motifs, le recours ne remplit pas les exigences minimales de motivation. Partant, il doit être déclaré irrece- vable, sans procédure de régularisation.</w:t>
      </w:r>
    </w:p>
    <w:p>
      <w:r>
        <w:rPr>
          <w:b/>
        </w:rPr>
        <w:t>E. 5</w:t>
      </w:r>
    </w:p>
    <w:p>
      <w:r>
        <w:t>Les frais de la procédure de recours sont mis à la charge des parties dans la mesure où elles ont obtenu gain de cause ou succombé (art. 428 al. 1 CPP), de sorte que le recourant devrait en principe les supporter en l’espèce. Au vu de sa situation personnelle, il est toutefois et de manière exceptionnelle – une deuxième et dernière fois (cf. dossier 502 2019 237) – renoncé à la percep- tion de frais. la Chambre arrête : I. Le recours est irrecevable. II. Il est renoncé à la perception de frais.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octobre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