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26 vom 18. Februar 2019</w:t>
      </w:r>
    </w:p>
    <w:p>
      <w:r>
        <w:t>FR Kantonsgericht, 2019-02-18, FR</w:t>
      </w:r>
    </w:p>
    <w:p>
      <w:r>
        <w:rPr>
          <w:b/>
        </w:rPr>
        <w:t xml:space="preserve">Quelle: </w:t>
      </w:r>
      <w:r>
        <w:t>https://mcp.opencaselaw.ch/entscheid/fr_gerichte_502_2019_26</w:t>
      </w:r>
    </w:p>
    <w:p>
      <w:r>
        <w:t>FR: FR_GERICHTE 502 2019 26 du 18 février 2019</w:t>
      </w:r>
    </w:p>
    <w:p>
      <w:r>
        <w:t>IT: FR_GERICHTE 502 2019 26 del 18 febbraio 2019</w:t>
      </w:r>
    </w:p>
    <w:p>
      <w:pPr>
        <w:pStyle w:val="Heading2"/>
      </w:pPr>
      <w:r>
        <w:t>Regeste</w:t>
      </w:r>
    </w:p>
    <w:p>
      <w:r>
        <w:t>Arrêt de la Chambre pénale du Tribunal cantonal | Untersuchungs- oder Sicherheitshaft (Art. 222 und 231-233 StPO)</w:t>
      </w:r>
    </w:p>
    <w:p>
      <w:pPr>
        <w:pStyle w:val="Heading2"/>
      </w:pPr>
      <w:r>
        <w:t>Erwägungen</w:t>
      </w:r>
    </w:p>
    <w:p>
      <w:r>
        <w:rPr>
          <w:b/>
        </w:rPr>
        <w:t>E. 1.1</w:t>
      </w:r>
    </w:p>
    <w:p>
      <w:r>
        <w:t>La décision ordonnant une détention provisoire ou sa prolongation est sujette à recours auprès de la Chambre pénale (art. 20 al. 1 let. c, 222 et 393 al. 1 CPP, art. 64 let. c et 85 LJ).</w:t>
      </w:r>
    </w:p>
    <w:p>
      <w:r>
        <w:rPr>
          <w:b/>
        </w:rPr>
        <w:t>E. 1.2</w:t>
      </w:r>
    </w:p>
    <w:p>
      <w:r>
        <w:t>Le prévenu a un intérêt juridiquement protégé manifeste à un recours contre une décision ordonnant sa détention (art. 382 CPP).</w:t>
      </w:r>
    </w:p>
    <w:p>
      <w:r>
        <w:rPr>
          <w:b/>
        </w:rPr>
        <w:t>E. 1.3</w:t>
      </w:r>
    </w:p>
    <w:p>
      <w:r>
        <w:t>Doté de conclusions et d’une motivation suffisante, le recours répond aux exigences de forme (art. 385 CPP) et le délai de dix jours pour recourir (art. 396 al. 1 CPP) a manifestement été respecté.</w:t>
      </w:r>
    </w:p>
    <w:p>
      <w:r>
        <w:rPr>
          <w:b/>
        </w:rPr>
        <w:t>E. 1.4</w:t>
      </w:r>
    </w:p>
    <w:p>
      <w:r>
        <w:t>Le recours fait l'objet d'une procédure écrite (art. 397 al. 1 CPP).</w:t>
      </w:r>
    </w:p>
    <w:p>
      <w:r>
        <w:t>Tribunal cantonal TC Page 3 de 6</w:t>
      </w:r>
    </w:p>
    <w:p>
      <w:r>
        <w:rPr>
          <w:b/>
        </w:rPr>
        <w:t>E. 2.1</w:t>
      </w:r>
    </w:p>
    <w:p>
      <w:r>
        <w:t>Comme indiqué dans la décision attaquée, une mesure de détention préventive n'est compatible avec la liberté personnelle garantie aux art. 10 al. 2 Cst. et 5 CEDH que si elle repose sur une base légale (art. 31 al. 1 et art. 36 al. 1 Cst.), soit en l'espèce l'art. 221 CPP. Elle doit en outre correspondre à un intérêt public et respecter le principe de la proportionnalité (art. 36 al. 2 et</w:t>
      </w:r>
    </w:p>
    <w:p>
      <w:r>
        <w:rPr>
          <w:b/>
        </w:rPr>
        <w:t>E. 2.2</w:t>
      </w:r>
    </w:p>
    <w:p>
      <w:r>
        <w:t>Préalablement à l'examen de ces hypothèses, il doit exister à l'égard de l'intéressé des charges suffisantes ou des indices sérieux de culpabilité,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p. 126 / JdT 2012 IV 79; arrêt TF 1B_22/2016 du 2 février 2016 consid. 2.1). En l'espèce, le recourant ne conteste pas l'existence de charges suffisantes, propres à entraîner une détention provisoire. Il conteste en revanche tout risque de collusion, de réitération ou de passage à l’acte.</w:t>
      </w:r>
    </w:p>
    <w:p>
      <w:r>
        <w:rPr>
          <w:b/>
        </w:rPr>
        <w:t>E. 2.3.1</w:t>
      </w:r>
    </w:p>
    <w:p>
      <w:r>
        <w:t>S'agissant du risque de collusion, la détention provisoire peut être justifiée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 JdT 2012 IV 79 consid. 4.2; arrêt 1 TF B_404/2017 du 18 octobre 2017 consid. 4.1).</w:t>
      </w:r>
    </w:p>
    <w:p>
      <w:r>
        <w:rPr>
          <w:b/>
        </w:rPr>
        <w:t>E. 2.3.2</w:t>
      </w:r>
    </w:p>
    <w:p>
      <w:r>
        <w:t>Le recourant conteste ce risque à l’égard de son épouse plaignante dans la mesure où cette dernière a été entendue à deux reprises, dont une audition de confrontation avec lui. Quant au risque de collusion à l’encontre d’autres personnes, il doit, selon lui, également être nié, ce d’autant plus en ce qui concerne sa mère et la mère de la voisine du couple qui devraient être entendues les 12 février 2019, à 09.30 heures et 13 février 2019 à 10.00 heures (recours p. 5 s. et détermination du 11 février 2019).</w:t>
      </w:r>
    </w:p>
    <w:p>
      <w:r>
        <w:t>Tribunal cantonal TC Page 4 de 6 Comme le relève le Ministère public dans sa détermination du 11 février 2019, le risque de collusion demeure tant que les deux auditions qui doivent encore être menées par la police, soit celle de la mère du recourant et celle de la mère de la voisine du couple, n’auront pas encore été tenues. Ainsi, c’est à juste titre que le Tmc a retenu que le risque de collusion est concret, à tout le moins au moment de l’ordonnance rendue.</w:t>
      </w:r>
    </w:p>
    <w:p>
      <w:r>
        <w:rPr>
          <w:b/>
        </w:rPr>
        <w:t>E. 2.4.1</w:t>
      </w:r>
    </w:p>
    <w:p>
      <w:r>
        <w:t>S'agissant du risque de réitération, l’art. 221 al. 1 lit. c CPP dispose que le maintien en détention provisoire se justifie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arrêt TF 1B_3/2019 du 17 janvier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arrêt TF 1B_3/2019 du 17 janvier 2019 consid 3.1.; arrêt TF 1B_133/2011 du 12 avril 2011 consid. 4.7). Le risque de récidive peut également se fonder sur les infractions faisant l'objet de la procédure pénale en cours, si le prévenu est fortement soupçonné – avec une probabilité confinant à la certitude – de les avoir commises (ATF 143 IV 9 consid. 2.3.1; 137 IV 84 consid. 3.2; arrêt TF 1B_3/2019 du 17 janvier 2019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2.7; arrêt TF 1B_3/2019 du 17 janvier 2019 consid 3.1).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 personnelles du prévenu doivent en outre être évaluées (ATF 143 IV 9 consid. 3.2; 137 IV 84 consid. 3.2.; arrêt TF 1B_3/2019 du 17 janvier 2019 consid 3.1.;). Enfin, l'art. 221 al. 2 CPP permet d'ordonner la détention lorsqu'il y a lieu de craindre un passage à l'acte, même en l'absence de toute infraction préalable. La menace de commettre un crime grave au sens de cette disposition peut aussi résulter d'actes concluants (ATF 137 IV 339 consid. 2.4; également arrêt 1B_361/2012 du 28 juin 2012 consid. 3.1).</w:t>
      </w:r>
    </w:p>
    <w:p>
      <w:r>
        <w:rPr>
          <w:b/>
        </w:rPr>
        <w:t>E. 2.4.2</w:t>
      </w:r>
    </w:p>
    <w:p>
      <w:r>
        <w:t>S'agissant du risque de passage à l'acte, l'art. 221 al. 2 CPP dispose que la détention peut être ordonnée s'il y a sérieusement lieu de craindre qu'une personne passe à l'acte après avoir menacé de commettre un crime grave. La nécessité de détourner des personnes de la commission d’infractions pénales est expressément reconnue comme motif de détention par l'art. 5 ch. 1 let. c CEDH. Selon la jurisprudence du Tribunal fédéral, la retenue est de mise pour considérer qu’une</w:t>
      </w:r>
    </w:p>
    <w:p>
      <w:r>
        <w:t>Tribunal cantonal TC Page 5 de 6 personne accusée pourrait commettre une infraction grave. Un pronostic très défavorable doit être réalisé. Il n’est toutefois pas nécessaire que la personne soupçonnée se soit déjà livrée à des préparatifs concrets pour commettre les faits redoutés. Il est au contraire suffisant que la probabilité du passage à l’acte apparaisse comme très élevée sur la base d’une mise en balance globale des relations personnelles ainsi que des circonstances. En particulier en cas de menace de crime de violence, il y a lieu de prendre en compte l’état psychique de la personne soupçonnée, respectivement son imprévisibilité ou son agressivité (ATF 137 IV 122 / JdT 2012 IV 79).</w:t>
      </w:r>
    </w:p>
    <w:p>
      <w:r>
        <w:rPr>
          <w:b/>
        </w:rPr>
        <w:t>E. 2.4.3</w:t>
      </w:r>
    </w:p>
    <w:p>
      <w:r>
        <w:t>Le recourant conteste ces risques en soutenant qu’il y a lieu de tenir compte du fait que les faits dénoncés auraient été commis dans le cadre de la vie commune et que la plaignante a clairement manifesté son intention de mettre un terme à la vie conjugale. Il complète en indiquant que si, par impossible, de tels risques devaient être retenus, il conviendrait de prononcer des mesures de substitution, comme une interdiction d’approcher la plaignante et de fréquenter certains lieux. Le recourant argue encore que le fait qu’une expertise psychiatrique doive être réalisée n’est nullement pertinent dès lors que le risque de réitération ou de passage à l’acte, par lui contesté, n’existerait que dans le contexte de la vie commune entre lui et la plaignante (recours p. 6 s. et détermination du 11 février 2019). Comme le relève avec pertinence le Ministère public dans sa détermination du 11 février 2019, le risque de réitération et de passage à l’acte demeurent concrets au moins tant qu’une expertise psychiatrique n’aura pas été menée et ses conclusions connues. En effet, les violences psychologiques, physiques et sexuelles dont le recourant se serait fait l’auteur se seraient produites depuis 2013 (PV d’audition de B.________ du 22 janvier 2019), ce dernier reconnaissant que les « choses se sont dégradées depuis une année » (DO 3002). Solidarité femmes fribourg a attesté suivre B.________ depuis le 29 novembre 2018 (DO 9000). Le recourant, bien que contestant les violences dont il est accusé, a admis que les hématomes sur le corps de son épouse provenaient de coups qu’il a pu lui donner, mais que c’était dans le cadre d’amusements au lit (DO 3005 et 3028). Il a également déclaré qu’il lui était arrivé de dire à son épouse que si elle était d’accord de « faire l’amour » avec lui, il lui donnerait de l’argent (DO 3007 et 3028). Ainsi, il ressort tant des éléments au dossier décrivant une grande agressivité du recourant à l’égard de la plaignante et une impulsivité grandissante dans la fréquence et le type de violences que de l’absence de prise de conscience du recourant, voire même plus le déni des faits a priori peu crédible, que la probabilité qu’il passe à l’acte et qu’il compromette sérieusement la sécurité de son épouse soit très élevée et ne saurait être écarté ni même considérablement réduit du seul fait que les parties vivront désormais peut-être séparées. Il est dès lors essentiel de pouvoir mener l’expertise psychiatrique envisagée qui, dans le contexte difficile des infractions reprochées, aura plus de chance d’aboutir en maintenant le recourant en détention. Il appartiendra toutefois au Ministère public de faire diligence pour mettre rapidement en œuvre cette expertise qui devrait, à tout le moins dans un premier temps, se déterminer sur les risques de réitération et de passage à l’acte. Ainsi, c’est à juste titre que le Tmc a retenu que le risque de passage à l’acte est concret.</w:t>
      </w:r>
    </w:p>
    <w:p>
      <w:r>
        <w:rPr>
          <w:b/>
        </w:rPr>
        <w:t>E. 2.5</w:t>
      </w:r>
    </w:p>
    <w:p>
      <w:r>
        <w:t>Le principe de la proportionnalité a été on ne peut mieux respecté en l’ordonnance attaquée par la durée de la détention prononcée, compte tenu de la nature des infractions reprochées, des intérêts en jeu et des mesures d’instruction à mener.</w:t>
      </w:r>
    </w:p>
    <w:p>
      <w:r>
        <w:t>Tribunal cantonal TC Page 6 de 6 Pour le reste, aucune cautèle par obligations conditionnant une libération ne serait en l’état de nature à pallier les risques retenus. Cela est en particulier le cas pour celles proposées par le recourant.</w:t>
      </w:r>
    </w:p>
    <w:p>
      <w:r>
        <w:rPr>
          <w:b/>
        </w:rPr>
        <w:t>E. 3</w:t>
      </w:r>
    </w:p>
    <w:p>
      <w:r>
        <w:t>Cst.). Pour que tel soit le cas, la privation de liberté doit être justifiée par les besoins de l'instruction, par un risque de fuite ou par un danger de collusion ou de réitération (art. 221 al. 1 let. a, b et c CPP).</w:t>
      </w:r>
    </w:p>
    <w:p>
      <w:r>
        <w:rPr>
          <w:b/>
        </w:rPr>
        <w:t>E. 3.1</w:t>
      </w:r>
    </w:p>
    <w:p>
      <w:r>
        <w:t>Vu l’issue de la procédure, les frais doivent être mis à la charge du recourant (art. 428 CPP, 35 et 43 du Règlement sur la justice [RJ]).</w:t>
      </w:r>
    </w:p>
    <w:p>
      <w:r>
        <w:rPr>
          <w:b/>
        </w:rPr>
        <w:t>E. 3.2</w:t>
      </w:r>
    </w:p>
    <w:p>
      <w:r>
        <w:t>La Chambre pénale arrête elle-même l’indemnité du défenseur d’office pour la procédure de recours selon l’art. 57 al. 1 et 2 RJ (RFJ 2015 73). En l’espèce, pour la rédaction du recours et des observations ainsi que pour l’examen des déterminations puis de l'arrêt, avec quelques autres petites opérations, le temps y relatif peut être estimé au vu du dossier à environ 5 heures de travail. L’indemnité sera dès lors fixée à CHF 1'000.-, TVA (7.7 %) par CHF 77.- en sus (cf. art. 56 ss RJ). la Chambre arrête: I. Le recours est rejeté. Partant, l’ordonnance rendue le 25 janvier 2019 par le Tribunal des mesures de contrainte, plaçant A.________ en détention provisoire jusqu’au 21 mars 2019, est confirmée. II. L’indemnité due pour la procédure de recours à Me Joris Buhler, défenseur d’office, est fixée à CHF 1'077.-, TVA par CHF 77.- incluse. III. Les frais judiciaires sont fixés à CHF 1'677.- (émolument: CHF 500.-; débours: CHF 100.-; frais de défense d’office: CHF 1'077.-) et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18 février 2019/lsc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