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25 vom 2. April 2019</w:t>
      </w:r>
    </w:p>
    <w:p>
      <w:r>
        <w:t>FR Kantonsgericht, 2019-04-02, FR</w:t>
      </w:r>
    </w:p>
    <w:p>
      <w:r>
        <w:rPr>
          <w:b/>
        </w:rPr>
        <w:t xml:space="preserve">Quelle: </w:t>
      </w:r>
      <w:r>
        <w:t>https://mcp.opencaselaw.ch/entscheid/fr_gerichte_502_2019_25</w:t>
      </w:r>
    </w:p>
    <w:p>
      <w:r>
        <w:t>FR: FR_GERICHTE 502 2019 25 du 2 avril 2019</w:t>
      </w:r>
    </w:p>
    <w:p>
      <w:r>
        <w:t>IT: FR_GERICHTE 502 2019 25 del 2 aprile 2019</w:t>
      </w:r>
    </w:p>
    <w:p>
      <w:pPr>
        <w:pStyle w:val="Heading2"/>
      </w:pPr>
      <w:r>
        <w:t>Regeste</w:t>
      </w:r>
    </w:p>
    <w:p>
      <w:r>
        <w:t>Arrêt de la Chambre pénale du Tribunal cantonal | Nichtanhandnahme (Art. 310 StPO)</w:t>
      </w:r>
    </w:p>
    <w:p>
      <w:pPr>
        <w:pStyle w:val="Heading2"/>
      </w:pPr>
      <w:r>
        <w:t>Erwägungen</w:t>
      </w:r>
    </w:p>
    <w:p>
      <w:r>
        <w:rPr>
          <w:b/>
        </w:rPr>
        <w:t>E. 14</w:t>
      </w:r>
    </w:p>
    <w:p>
      <w:r>
        <w:t>septembre 2017, elle était tardive. D. A.________ a écrit à la Chambre pénale le 28 janvier 2019, sollicitant un délai supplémentaire pour décider de la suite à donner à cette procédure. A la suite de la réponse du</w:t>
      </w:r>
    </w:p>
    <w:p>
      <w:r>
        <w:t>Tribunal cantonal TC Page 3 de 5 Président de la Chambre du 29 janvier 2019, il a déposé le 31 janvier 2019 un recours contre l'ordonnance de non-entrée en matière. Le 27 février 2019, le Ministère public a renoncé à se déterminer et a confirmé son ordonnance du</w:t>
      </w:r>
    </w:p>
    <w:p>
      <w:r>
        <w:rPr>
          <w:b/>
        </w:rPr>
        <w:t>E. 18</w:t>
      </w:r>
    </w:p>
    <w:p>
      <w:r>
        <w:t>janvier 2019. A.________ a adressé des écrits supplémentaires à la Chambre le 28 mars 2019. en droit 1. 1.1. En application des art. 310 al. 2, 322 al. 2 du code de procédure pénale suisse du 5 octobre 2007 (CPP; RS 312.0) et 85 al. 1 de la loi du 31 mai 2010 sur la justice (LJ; RSF 130.1), la voie du recours à la Chambre pénale est ouverte contre une ordonnance de non-entrée en matière. 1.2. Selon les art. 322 al. 2 et 396 al. 1 CPP, le recours est adressé par écrit, dans le délai de dix jours, à l’autorité de recours. Le recours doit être motivé (art. 396 al. 1 CPP) et indiquer précisément les motifs qui commandent une autre décision (art. 385 al. 1 let. b CPP). Ces conditions de recevabilité sont remplies dans le cas d'espèce. En particulier, le recours du 31 janvier 2019 a été déposé dans le délai, la notification étant survenue le 21 janvier 2019, 1.3. L’ordonnance querellée prononçant la non-entrée en matière sur sa plainte pénale, le recourant a qualité pour recourir au sens des art. 382 al. 1 et 104 al. 1 let. b CPP. 1.4. La Chambre statue sans débats (art. 397 al. 1 CPP). 2. 2.1. Le recourant estime avoir été calomnié dans une lettre que lui a écrite le 14 septembre 2017 la Commune de B.________. Le recourant reproche à celle-ci d'avoir résumé les faits du</w:t>
      </w:r>
    </w:p>
    <w:p>
      <w:r>
        <w:rPr>
          <w:b/>
        </w:rPr>
        <w:t>E. 23</w:t>
      </w:r>
    </w:p>
    <w:p>
      <w:r>
        <w:t>août 2017 en écrivant: "D.________ et C.________ vous ont informé qu'il était interdit de filmer dans le périmètre scolaire et donné l'ordre de quitter les lieux, ce que vous avez refusé de faire", alors que les deux membres de la Commune ont seulement répété au recourant: "Arrêtez ça". D'après le recourant, le récit de la Commune a pour effet d'aggraver les faits en sa défaveur. Le Ministère public a fondé sa non-entrée en matière sur le fait que le recourant n’aurait pas respecté le délai de trois mois pour déposer une plainte pénale. 2.2. 2.2.1. Dans son recours, A.________ conteste l'argument de tardiveté. D'après lui, la lettre le calomniant date du 14 septembre 2017 mais a été confirmée par le courrier du 15 mars 2018, moment à partir duquel court le délai de trois mois pour déposer une plainte pénale. Or, il a déposé sa plainte pénale le 13 avril 2018. 2.2.2. A teneur de l'art. 31 al. 1 1e phr. du Code pénal (CP), le droit de porter plainte se prescrit par trois mois. Le délai court du jour où l’ayant droit a connu l’auteur de l’infraction. Le délai pour porter plainte est un délai de péremption, qui ne peut être ni interrompu, ni prolongé (ATF 118 IV 325 consid. 2b et les références citées).</w:t>
      </w:r>
    </w:p>
    <w:p>
      <w:r>
        <w:t>Tribunal cantonal TC Page 4 de 5 En présence d’une pluralité d’infractions formant une unité, le Tribunal fédéral fixe le point de départ du délai pour porter plainte par analogie avec la fixation du point de départ de la prescription au sens de l’art. 98 let. b CP (PC CP, 2e édition, 2017, art. 31 n. 8). Selon l’art. 98 let. b CP, la prescription court dès le jour du dernier acte si cette activité s’est exercée à plusieurs reprises. L'atteinte à l'honneur ne renferme pas cet élément à caractère durable. Chaque acte est un fait ponctuel, non pas une situation qui se prolonge dans le temps (ATF 119 IV 199 consid. 2). 2.2.3. En l'espèce, les affirmations prétendument attentatoires à l’honneur figurent dans la lettre du 14 septembre 2017. Dans son courrier du 15 mars 2018, comme d’ailleurs dans celui du 9 janvier 2018, la Commune fait uniquement référence "aux éléments qui [vous] ont déjà été communiqués dans notre courrier du 14 septembre 2017", ce qui ne saurait constituer une potentielle activité délictuelle faisant courir un nouveau délai pour déposer une plainte pénale, délai échu depuis le 17 décembre 2017. La décision du Ministère public doit être confirmée. 2.3. Même déposée dans le délai, la plainte pénale aurait dû être écartée par une décision de non-entrée en matière. 2.3.1. Aux termes de l’art. 174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 ou de tels soupçons, alors qu’il en connaissait l’inanité, sera, sur plainte puni d’une peine privative de liberté de trois ans au plus ou d’une peine pécuniaire (ch. 1). La peine sera une peine privative de liberté de trois ans au plus ou une peine pécuniaire de 30 jours-amende au moins si le calomniateur a, de propos délibéré, cherché à ruiner la réputation de sa victime (ch. 2). Les éléments constitutifs objectifs de la calomnie sont: une atteinte à l’honneur, une communication à un tiers et la fausseté du fait allégué. Le fait allégué par le calomniateur doit être faux. Il appartient aux autorités pénales de prouver que le fait allégué est faux. Au cas où la fausseté de l’allégation n’est pas prouvée, il s’agit d’une diffamation selon l’art. 173 CP. Sur le plan subjectif, l’infraction implique l’intention. L’auteur doit vouloir et accepter que sa communication soit attentatoire à l’honneur et qu’elle soit portée à la connaissance de tiers. Le dol éventuel est suffisant. L’auteur doit en outre agir en connaissant la fausseté de son allégation, le dol éventuel n’étant en l’espèce pas suffisant. La preuve de cet élément subjectif spécifique incombe à l’accusation. L'honneur que protège cette disposition est le sentiment et la réputation d'être une personne honnête et respectable, c'est-à-dire le droit de ne pas être méprisé en tant qu'être humain (ATF 132 IV 112 consid. 2.1; 128 IV 53 consid. 1a). 2.3.2. En l'espèce, le reproche adressé à A.________ (refuser de quitter les lieux malgré une injonction), quand bien même il serait faux, n’est pas de nature à porter atteinte à l'honneur du recourant tel que cet honneur est protégé par le droit pénal; le recourant n'est en rien attaqué ni méprisé dans sa qualité d'être humain. Cela suffit pour ne pas entrer en matière sur sa plainte pénale et, partant, pour rejeter le recours. 3. Les frais de procédure de recours sont mis à la charge des parties dans la mesure où elles ont obtenu gain de cause ou succombé (art. 422 et 428 al. 1 CPP).</w:t>
      </w:r>
    </w:p>
    <w:p>
      <w:r>
        <w:t>Tribunal cantonal TC Page 5 de 5 En l’espèce, vu le rejet du recours, les frais y relatifs à hauteur de CHF 500.- sont mis à la charge du recourant et seront prélevés sur l'avance de frais. Aucune indemnité n'est octroyée au recourant. la Chambre arrête : I. Le recours est rejeté. Partant, l’ordonnance de non-entrée en matière rendue le 18 janvier 2019 par le Ministère public est confirmée. II. Les frais de procédure, à hauteur de CHF 500.-, sont mis à la charge de A.________ et seront prélevés sur l'avance de frais. Aucune indemnité n'est allouée.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avril 2019/cdu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