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241 vom 16. September 2019</w:t>
      </w:r>
    </w:p>
    <w:p>
      <w:r>
        <w:t>FR Kantonsgericht, 2019-09-16, FR</w:t>
      </w:r>
    </w:p>
    <w:p>
      <w:r>
        <w:rPr>
          <w:b/>
        </w:rPr>
        <w:t xml:space="preserve">Quelle: </w:t>
      </w:r>
      <w:r>
        <w:t>https://mcp.opencaselaw.ch/entscheid/fr_gerichte_502_2019_241</w:t>
      </w:r>
    </w:p>
    <w:p>
      <w:r>
        <w:t>FR: FR_GERICHTE 502 2019 241 du 16 septembre 2019</w:t>
      </w:r>
    </w:p>
    <w:p>
      <w:r>
        <w:t>IT: FR_GERICHTE 502 2019 241 del 16 settembre 2019</w:t>
      </w:r>
    </w:p>
    <w:p>
      <w:pPr>
        <w:pStyle w:val="Heading2"/>
      </w:pPr>
      <w:r>
        <w:t>Regeste</w:t>
      </w:r>
    </w:p>
    <w:p>
      <w:r>
        <w:t>Arrêt de la Chambre pénale du Tribunal cantonal | Untersuchungs- oder Sicherheitshaft (Art. 222 und 231-233 StPO)</w:t>
      </w:r>
    </w:p>
    <w:p>
      <w:pPr>
        <w:pStyle w:val="Heading2"/>
      </w:pPr>
      <w:r>
        <w:t>Erwägungen</w:t>
      </w:r>
    </w:p>
    <w:p>
      <w:r>
        <w:rPr>
          <w:b/>
        </w:rPr>
        <w:t>E. 22</w:t>
      </w:r>
    </w:p>
    <w:p>
      <w:r>
        <w:t>août 2019, D.________ a déclaré avoir dépanné (ce qui « signifie vendre au prix d’achat, sans faire de bénéfice ») ou offert de la cocaïne à des amis, respectivement avoir consommé de la drogue avec eux. Il a en outre admis connaître le recourant, qui serait un très bon ami et qui se rendrait chez lui régulièrement, soit 2 fois par semaine. A la question de savoir s’il a vendu ou offert des stupéfiants au recourant, D.________ a d’abord répondu « Je ne me rappelle pas. Je ne veux pas lui causer d’ennui ». Puis, à celle de savoir ce qu’il a à dire au fait qu’il a été mis en cause pour la vente d’environ 116 grammes de cocaïne pour CHF 11'600.- au recourant, il a déclaré ceci: « C’est complètement faux, 100 % faux. Je ne lui [ai] jamais vendu, ni donn[é] et il ne sniffe pas. Il n’est jamais sorti avec un gramme de cocaïne de chez moi » (cf. pv d’audition police du 22 août 2019). Le 28 août 2019, K.________ a d’abord déclaré à la police consommer de la marijuana et de la cocaïne, mais ne pas connaître le recourant, alors qu’il ressortirait de son téléphone mobile qu’il a écrit des messages au numéro lll utilisé par le recourant (cf. pv d’audition police du 28 août 2019). Le lendemain, il a corrigé ses déclarations en ce sens qu’il connaît le recourant par le biais de B.________ et qu’il s’est rendu à plusieurs reprises à C.________ pour acheter des stupéfiants, soit avec les deux hommes, soit uniquement avec B.________ (cf. pv d’audition police du 29 août 2019). Egalement le 28 août 2019, M.________ a admis avoir acheté de la drogue à D.________. Par contre, il n’aurait jamais acheté de stupéfiants au recourant, lequel serait un ami de D.________ (cf. pv d’audition police du 28 août 2019). Le 29 août 2019, N.________ a déclaré à la police avoir acheté environ 30 grammes de cocaïne entre janvier 2017 et mars 2019 auprès de D.________. Il a ajouté y avoir souvent vu le recourant qui est « grand copain » avec le précité, mais ne lui avoir jamais acheté de la drogue (cf. pv d’audition police du 29 août 2019). Toujours le 29 août 2019, la police a auditionné O.________, lequel a soutenu que le recourant l’a dépanné quelques fois en lui vendant quelques sachets de marijuana. Le recourant lui aurait dit qu’il se fournissait auprès d’un « bon pote » à C.________. Il l’a également accompagné 3 fois à C.________ pour qu’il aille chercher de la marchandise chez ce dernier. Au total, il aurait acheté environ 30 grammes de marijuana au recourant entre 2017 et 2018 (cf. pv d’audition police du 29 août 2019). L’ensemble de ces éléments suffisent pour retenir, à ce stade de la procédure, de forts soupçons au sens de l’art. 221 al. 1 CPP, les arguments exposés par le recourant dans son pourvoi et ses déterminations n’étant pas convaincants. Plusieurs personnes chargent le recourant, de sorte que l’argument selon lequel B.________ voudrait lui nuire, respectivement lui faire endosser la responsabilité ne peut être suivi en l’état. De même, il paraît peu vraisemblable que B.________ et K.________ se soient entendus entre le 28 et le 29 août 2019 pour charger le recourant, comme il semble le soutenir dans sa dernière détermination, ce d’autant que si les déclarations de K.________ du 29 août 2019 sont certes défavorables pour le recourant, elles le sont encore davantage pour B.________. La probité du recourant – tout comme d’ailleurs celle de son ami D.________ – a au demeurant déjà été mise à mal, notamment lorsqu’il soutient n’avoir consommé qu’à une seule reprise de la cocaïne en Suisse, dans un festival, alors que des résidus</w:t>
      </w:r>
    </w:p>
    <w:p>
      <w:r>
        <w:t>Tribunal cantonal TC Page 8 de 10 de poudre blanche – que le recourant a présentée comme de la cocaïne – ont été retrouvés à son domicile, ou lorsqu’il affirme n’avoir jamais vendu, offert ou acheté de la drogue pour des tiers, alors qu’il l’admet ensuite tout de même en partie, pour des quantités sensiblement plus basses. Enfin, comme le Tmc l’a relevé, le fait de faire l’intermédiaire est également punissable (cf. ATF 142 IV 401). 4.4.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arrêt TF 1B_404/2017 du 18 octobre 2017 consid. 4.1). A ce stade de l'enquête, le risque de collusion est suffisamment établi. En effet, l’enquête n’en est qu’à son début. Le Tribunal fédéral a eu, à de nombreuses reprises, l’occasion de préciser que, dans le cadre du trafic de stupéfiants, il est notoire que l'instruction nécessite un grand nombre d'auditions et de confrontations, et que ce chef de prévention induit généralement l'implication d'un grand nombre de personnes, avec des rôles plus ou moins importants. L'organisation des auditions et/ou des confrontations en découlant a donc nécessairement un impact sur la durée de l'instruction, ainsi que sur l'existence d'un risque de collusion (ainsi notamment arrêt TF 1B_20/2016 du 4 février 2016 consid. 3.2). Au vu de l’avancement de l’enquête, notamment des auditions menées depuis le prononcé de la décision querellée, il y a lieu de continuer les investi- gations (p.ex. l’exploitation des données rétroactives du téléphone portable du recourant, cf. DO 8005 ss) et en particulier de procéder à des confrontations afin d'établir l'ampleur des agissements du recourant. Ces éléments d'instruction sont de première importance dans les causes relatives au trafic de stupéfiants et il importe qu'ils puissent être menés sans que les personnes à entendre aient pu être influencées. Par ailleurs, rien au dossier ne permet en l’état de retenir que l’enquête n’avancerait pas, respectivement qu’elle aurait pris du retard. 4.5. Le risque de collusion étant suffisamment établi, la Chambre renonce à examiner le risque de fuite en l’état. 4.6. Quant aux mesures de substitution réclamées par le recourant s’agissant du risque de collusion (interdiction de se rendre chez l’un des co-prévenus, assortie d’une interdiction de contacter lesdites personnes), aucune n’est en l’état suffisante pour pallier ce risque. En effet, la police n’a pas achevé son travail et des confrontations seront nécessaires, le recourant contestant les déclarations de plusieurs personnes auditionnées. La Chambre ne peut ainsi ignorer le risque que le recourant ne mette sa liberté à profit pour faire pression sur ces personnes ainsi que sur celles qui n’auraient pas encore été auditionnées, ce qui mettrait indéniablement en péril l’instruction de la cause. La Chambre n’a au demeurant jamais eu la naïveté de croire qu'une interdiction de contacter les personnes entendues, à entendre ou à réentendre suffirait pour éviter</w:t>
      </w:r>
    </w:p>
    <w:p>
      <w:r>
        <w:t>Tribunal cantonal TC Page 9 de 10 la possibilité de tenter d'influencer leurs déclarations, d'autant plus en l'espèce où le recourant a déjà varié dans ses déclarations. 4.7. La durée de la détention, soit jusqu’au 1er octobre 2019, est pleinement adaptée à la nature et aux circonstances de la cause telles que décrites ci-avant, étant rappelé que l'instruction vient de débuter. La durée de la détention est ainsi proportionnée et adéquate. Pour ce qui a trait à l'incidence sur sa situation professionnelle, les répercussions de la détention sur la vie privée et professionnelle doivent céder le pas devant les besoins de l'instruction, les nécessités d'ordre professionnel ne pouvant faire échec à une mesure de détention provisoire (cf. arrêt TF 1B_10/2017 du 26 janvier 2017 consid 5.2). Quant à l’argument selon lequel il semble probable que le recourant se soustrairait à son éventuelle peine s’il devait être licencié, ce qui serait préjudiciable aux intérêts de l’Etat notamment, ne serait-ce qu’en raison de frais de justice irrécupérables, il surprend pour le moins, ce d’autant que le recourant affirme vouloir rester en Suisse, allant jusqu’à proposer une assignation à résidence à la place de la détention. Quoi qu’il en soit, il ne saurait en tout état de cause justifier une remise en liberté. Il s’ensuit le rejet du recours et la confirmation de l’ordonnance querellée. 5. 5.1. Vu la violation du droit d’être entendu retenue sous chiffre 2 ci-devant, les frais de procédure doivent être mis à la charge de l’Etat. 5.2. La Chambre pénale arrête elle-même l’indemnité du défenseur d’office pour la procédure de recours selon l’art. 57 al. 1 et 2 RJ (RFJ 2015 73). En l’espèce, pour la rédaction du recours et des deux déterminations, pour l’examen des déterminations du Ministère public et du Tmc, pour l’étude des nouvelles pièces figurant au dossier, pour la lecture du présent arrêt, avec explications au client, et quelques opérations mineures, une durée de l’ordre de 7 heures de travail paraît raisonnable. L’indemnité équitable sera dès lors fixée à un montant arrondi de CHF 1'500.-, débours/vacations compris, mais TVA par CHF 115.50 en sus (cf. art. 56 ss du RJ). (dispositif en page suivante)</w:t>
      </w:r>
    </w:p>
    <w:p>
      <w:r>
        <w:t>Tribunal cantonal TC Page 10 de 10 la Chambre arrête: I. En tant qu’il porte sur la violation du droit d’être entendu, le recours est partiellement admis. II. En tant qu’il porte sur l’ordonnance de la détention provisoire, le recours est rejeté. Partant, la décision du 23 août 2019 ordonnant la détention provisoire de A.________ jusqu’au 1er octobre 2019 est confirmée. III. L’indemnité due à Me Sébastien Bossel, défenseur d’office, pour la procédure de recours est arrêtée à CHF 1'615.50, TVA par 115.50 comprise. IV. Les frais de procédure, fixés à CHF 2'215.50 (émolument: CHF 500.-; débours: CHF 100.-; frais de défense d’office: CHF 1'615.50), sont mis à la charge de l’Etat de Fribourg.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septembre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