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174 vom 4. Juli 2019</w:t>
      </w:r>
    </w:p>
    <w:p>
      <w:r>
        <w:t>FR Kantonsgericht, 2019-07-04, FR</w:t>
      </w:r>
    </w:p>
    <w:p>
      <w:r>
        <w:rPr>
          <w:b/>
        </w:rPr>
        <w:t xml:space="preserve">Quelle: </w:t>
      </w:r>
      <w:r>
        <w:t>https://mcp.opencaselaw.ch/entscheid/fr_gerichte_502_2019_174</w:t>
      </w:r>
    </w:p>
    <w:p>
      <w:r>
        <w:t>FR: FR_GERICHTE 502 2019 174 du 4 juillet 2019</w:t>
      </w:r>
    </w:p>
    <w:p>
      <w:r>
        <w:t>IT: FR_GERICHTE 502 2019 174 del 4 luglio 2019</w:t>
      </w:r>
    </w:p>
    <w:p>
      <w:pPr>
        <w:pStyle w:val="Heading2"/>
      </w:pPr>
      <w:r>
        <w:t>Regeste</w:t>
      </w:r>
    </w:p>
    <w:p>
      <w:r>
        <w:t>Arrêt de la Chambre pénale du Tribunal cantonal | Strafrecht</w:t>
      </w:r>
    </w:p>
    <w:p>
      <w:pPr>
        <w:pStyle w:val="Heading2"/>
      </w:pPr>
      <w:r>
        <w:t>Erwägungen</w:t>
      </w:r>
    </w:p>
    <w:p>
      <w:r>
        <w:rPr>
          <w:b/>
        </w:rPr>
        <w:t>E. 1.1</w:t>
      </w:r>
    </w:p>
    <w:p>
      <w:r>
        <w:t>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du Code de procédure pénale [CPP]). Dans le canton de Fribourg, le juge compétent est le juge de police (art. 75 al. 2 lit.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lit. b et 394 lit. a a contrario CPP; CR CPP-GILLIÉRON/ KILLIAS, 2011, art. 356 n. 5), auprès de la Chambre pénale (art. 85 al. 1 LJ).</w:t>
      </w:r>
    </w:p>
    <w:p>
      <w:r>
        <w:rPr>
          <w:b/>
        </w:rPr>
        <w:t>E. 1.2</w:t>
      </w:r>
    </w:p>
    <w:p>
      <w:r>
        <w:t>Le recours a été déposé dans le délai de dix jours de l’art. 396 al. 1 CPP.</w:t>
      </w:r>
    </w:p>
    <w:p>
      <w:r>
        <w:rPr>
          <w:b/>
        </w:rPr>
        <w:t>E. 2</w:t>
      </w:r>
    </w:p>
    <w:p>
      <w:r>
        <w:t>Aux termes de l’art. 354 al. 1 CPP, l’opposition doit être formée dans les dix jours. Ce délai était rappelé au chiffre 8 du dispositif de l’ordonnance pénale du 30 novembre 2018. Il commence à courir le jour qui suit la notification de l’acte (art. 90 al. 1 CPP), qui est survenue le 3 janvier 2019. Le délai d’opposition arrivait par conséquent à échéance le lundi 14 janvier 2019 (art. 90 al. 2 CPP). L’opposition formée le 2 février 2019 est ainsi manifestement tardive. En le constatant, le Juge de police a correctement appliqué l’art. 354 al. 1 CPP. Il s’ensuit le rejet du recours.</w:t>
      </w:r>
    </w:p>
    <w:p>
      <w:r>
        <w:rPr>
          <w:b/>
        </w:rPr>
        <w:t>E. 3</w:t>
      </w:r>
    </w:p>
    <w:p>
      <w:r>
        <w:t>Il semble que A.________ ne reproche en fait pas au Juge de police d’avoir considéré à tort son opposition comme tardive, mais qu’il estime ce retard comme excusable. Un tel argument relève</w:t>
      </w:r>
    </w:p>
    <w:p>
      <w:r>
        <w:t>Tribunal cantonal TC Page 3 de 3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du Juge de police (art. 94 al. 2 CPP). Cela étant, et même si cette question n’a pas été à juste titre abordée par le Juge de police, il sied de relever que A.________ ne disposait d’aucun motif de restitution. Il a admis avoir confondu le délai de 10 jours avec celui de 30 jours (PV du 21 mai 2019 p. 3), ce qui relève manifestement d’un comportement fautif au sens de l’art. 94 al. 1 CPP. Quant au fait qu’il est de langue maternelle allemande, il suffit de lire ses écrits pour réaliser qu’il maîtrise suffisamment bien le français pour comprendre le chiffre 8 du dispositif de l’ordonnance pénale du 30 novembre 2018 où le délai était mentionné. Et quand bien même il en aurait été autrement, il lui incombait de se renseigner. La cause de l’opposition tardive est bien la conséquence d’une erreur de A.________, erreur qui empêche toute restitution.</w:t>
      </w:r>
    </w:p>
    <w:p>
      <w:r>
        <w:rPr>
          <w:b/>
        </w:rPr>
        <w:t>E. 4</w:t>
      </w:r>
    </w:p>
    <w:p>
      <w:r>
        <w:t>Au vu de l’issue du recours, les frais de la procédure de recours, arrêtés à CHF 200.- (émolument: CHF 150.-; débours: CHF 50.-), sont mis à la charge de A.________. la Chambre arrête : I. Le recours est rejeté. Partant, la décision du Juge de police de l’arrondissement de la Sarine du 21 mai 2019 est confirmée. II. Les frais de la procédure de recours, fixés à CHF 200.- (émolument: CHF 150.-;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juillet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