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164 vom 4. Juni 2019</w:t>
      </w:r>
    </w:p>
    <w:p>
      <w:r>
        <w:t>FR Kantonsgericht, 2019-06-04, FR</w:t>
      </w:r>
    </w:p>
    <w:p>
      <w:r>
        <w:rPr>
          <w:b/>
        </w:rPr>
        <w:t xml:space="preserve">Quelle: </w:t>
      </w:r>
      <w:r>
        <w:t>https://mcp.opencaselaw.ch/entscheid/fr_gerichte_502_2019_164</w:t>
      </w:r>
    </w:p>
    <w:p>
      <w:r>
        <w:t>FR: FR_GERICHTE 502 2019 164 du 4 juin 2019</w:t>
      </w:r>
    </w:p>
    <w:p>
      <w:r>
        <w:t>IT: FR_GERICHTE 502 2019 164 del 4 giugno 2019</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une détention provisoire ou sa prolongation est sujette à recours auprès de la Chambre pénale (art. 20 al. 1 let. c, 222 et 393 al. 1 CPP, art. 64 let. c et 85 LJ).</w:t>
      </w:r>
    </w:p>
    <w:p>
      <w:r>
        <w:rPr>
          <w:b/>
        </w:rPr>
        <w:t>E. 1.2</w:t>
      </w:r>
    </w:p>
    <w:p>
      <w:r>
        <w:t>Le prévenu a un intérêt juridiquement protégé manifeste à un recours contre une décision ordonnant sa détention (art. 382 CPP).</w:t>
      </w:r>
    </w:p>
    <w:p>
      <w:r>
        <w:t>Tribunal cantonal TC Page 3 de 6</w:t>
      </w:r>
    </w:p>
    <w:p>
      <w:r>
        <w:rPr>
          <w:b/>
        </w:rPr>
        <w:t>E. 1.3</w:t>
      </w:r>
    </w:p>
    <w:p>
      <w:r>
        <w:t>Doté de conclusions et d’une motivation suffisante, le recours répond aux exigences de forme (art. 385 CPP) et le délai de dix jours pour recourir (art. 396 al. 1 CPP) a manifestement été respecté.</w:t>
      </w:r>
    </w:p>
    <w:p>
      <w:r>
        <w:rPr>
          <w:b/>
        </w:rPr>
        <w:t>E. 1.4</w:t>
      </w:r>
    </w:p>
    <w:p>
      <w:r>
        <w:t>Le recours fait l'objet d'une procédure écrite (art. 397 al. 1 CPP).</w:t>
      </w:r>
    </w:p>
    <w:p>
      <w:r>
        <w:rPr>
          <w:b/>
        </w:rPr>
        <w:t>E. 2</w:t>
      </w:r>
    </w:p>
    <w:p>
      <w:r>
        <w:t>Cst. et art. 5 CEDH) que si elle repose sur une base légale (art. 31 al. 1 et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Selon la jurisprudence, si un prévenu fait valoir qu’il se trouve en détention provisoire sans que le soupçon de commission d’infraction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w:t>
      </w:r>
    </w:p>
    <w:p>
      <w:r>
        <w:rPr>
          <w:b/>
        </w:rPr>
        <w:t>E. 2.1</w:t>
      </w:r>
    </w:p>
    <w:p>
      <w:r>
        <w:t>Une mesure de détention provisoire n'est compatible avec la liberté personnelle (art. 10 al.</w:t>
      </w:r>
    </w:p>
    <w:p>
      <w:r>
        <w:rPr>
          <w:b/>
        </w:rPr>
        <w:t>E. 2.2</w:t>
      </w:r>
    </w:p>
    <w:p>
      <w:r>
        <w:t>Le Tmc a, en substance, retenu dans la décision querellée ce qui suit : Il est reproché à A.________ de s’être adonné à un trafic de stupéfiants, dans la mesure où il aurait vendu au moins 120 grammes de cocaïne brute depuis le mois de juillet 2018. Les soupçons à son encontre sont notamment basés sur les déclarations de B.________, lequel a déclaré à la police lui avoir acheté environ 120 grammes de cocaïne pour environ CHF 7’200.- depuis le mois de juillet 2018, qualifiant la qualité de la drogue de très bonne. B.________ a également fourni des détails quant aux modalités de livraison, de conditionnement et au prix de la drogue. Lors de son interpellation par la police, 2,9 grammes de haschisch, 7,1 grammes bruts de cocaïne et 80 grammes de marijuana ont été découverts en possession de A.________ et à son domicile. Le conditionnement de la cocaïne était sous forme de parachute, correspondant aux détails fournis par B.________. A.________ a nié toute vente de produits stupéfiants, mais a reconnu en avoir remis de petites quantités gratuitement à des amis ou en avoir acheté pour le compte de ses amis. L’instruction menée les deux premiers mois d’incarcération de A.________ a permis de renforcer les soupçons à son égard. A.________ a également été mis en cause par C.________ pour la vente de cocaïne d’une quantité comprise entre 10 et 15 grammes pour un montant compris entre CHF 1’000.- et 1'500.- entre septembre-octobre 2018 et janvier 2019, par D.________ pour la vente d’environ 312 grammes de haschisch pour un montant total d’environ CHF 6'240.- entre novembre 2017 et</w:t>
      </w:r>
    </w:p>
    <w:p>
      <w:r>
        <w:t>Tribunal cantonal TC Page 4 de 6 janvier 2019 et par E.________ pour la vente d’environ 80 grammes de haschisch pour un montant total d’environ CHF 800.- entre février 2018 et janvier 2019. F.________ a aussi déclaré avoir acheté, depuis la fin 2018, 2 grammes de cocaïne à A.________ et en avoir reçu gratuitement. Lors des confrontations, toutes les personnes concernées ont maintenu leurs déclarations (décision attaquée p. 3).</w:t>
      </w:r>
    </w:p>
    <w:p>
      <w:r>
        <w:rPr>
          <w:b/>
        </w:rPr>
        <w:t>E. 2.3</w:t>
      </w:r>
    </w:p>
    <w:p>
      <w:r>
        <w:t>Dans son recours, A.________ se borne à arguer du fait que la crédibilité des déclarations de B.________ n’apparaît pas supérieure aux siennes, qu’il ressort des confrontations que les déclarations de C.________ et de E.________ ont été « influencées » par la police et qu’il est faux de retenir qu’il a persisté à contester les faits qui lui sont reprochés, ayant en revanche maintenu des déclarations identiques depuis son arrestation.</w:t>
      </w:r>
    </w:p>
    <w:p>
      <w:r>
        <w:rPr>
          <w:b/>
        </w:rPr>
        <w:t>E. 2.4</w:t>
      </w:r>
    </w:p>
    <w:p>
      <w:r>
        <w:t>La Chambre pénale ne peut que faire sienne l’argumentation pertinente du Tmc. Cela d’autant plus que, comme le relève le premier juge, celui-ci n’a pas à se hisser en juge du fond et à apprécier en détail la crédibilité de chacun des témoins à charge et de la comparer à celle du prévenu (ATF 137 IV 122 consid. 3.2. ; arrêt TF 1B_111/2016 du 12 mai 2016 consid. 3.2). Partant, il peut être retenu qu’il existe à l’encontre de A.________ de forts soupçons qu’il ait commis le crime à la LStup qui lui est reproché. Le grief du recourant doit ainsi être rejeté.</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p. 167 s.).</w:t>
      </w:r>
    </w:p>
    <w:p>
      <w:r>
        <w:rPr>
          <w:b/>
        </w:rPr>
        <w:t>E. 3.2</w:t>
      </w:r>
    </w:p>
    <w:p>
      <w:r>
        <w:t>Le Tmc a retenu que le prévenu, âgé de 30 ans, est un ressortissant G.________ établi en Suisse depuis 2011, et est certes assez bien intégré dans notre pays, pour y avoir toujours travaillé et vivre avec son père. En revanche, A.________ a des dettes d’environ CHF 11'000.-, a perdu son emploi et doit s’attendre, compte tenu de son casier judiciaire, à une peine privative nettement supérieure à un an en cas de condamnation pour la vente d’au moins 132 grammes de cocaïne de bonne qualité et, accessoirement, de cannabis. En raison de ces circonstances, le risque de fuite à l’étranger (à H.________) est réel (décision attaquée p. 4).</w:t>
      </w:r>
    </w:p>
    <w:p>
      <w:r>
        <w:rPr>
          <w:b/>
        </w:rPr>
        <w:t>E. 3.3</w:t>
      </w:r>
    </w:p>
    <w:p>
      <w:r>
        <w:t>L’argumentation du recourant consiste uniquement dans l’affirmation de son point de vue, principalement en lien avec le fait que les déclarations de B.________ n’apparaissent guère plus crédibles que les siennes, que C.________ et E.________ ont modifié leurs déclarations devant le Ministère public et que les preuves matérielles démontrent des quantités de stupéfiants bien inférieures ne pouvant pas conduire à la peine envisagée par le Tmc. Il en conclut que le risque de fuite n’est pas donné avec une vraisemblance telle qu’il justifie une nouvelle prolongation de la détention, ce d’autant qu’il a déjà perdu son emploi et que toute prolongation rendrait son retour dans la vie professionnelle plus difficile.</w:t>
      </w:r>
    </w:p>
    <w:p>
      <w:r>
        <w:t>Tribunal cantonal TC Page 5 de 6</w:t>
      </w:r>
    </w:p>
    <w:p>
      <w:r>
        <w:rPr>
          <w:b/>
        </w:rPr>
        <w:t>E. 3.4</w:t>
      </w:r>
    </w:p>
    <w:p>
      <w:r>
        <w:t>En l’espèce, la Chambre pénale ne peut, à l’instar de ce qu’elle a retenu ci-devant (cf. supra consid. 2.4.), que retenir que si les forts soupçons contre le recourant sont confirmés, il faudra compter avec le prononcé d’une peine privative de liberté de 18 à 24 mois comme l’indique le Ministère public dans sa détermination du 29 mai 2019. La situation du prénommé doit dès lors être examinée au regard de cette circonstance. Le recourant peut certes se prévaloir du fait qu’il vit en Suisse depuis 2011, qu’il habite à I.________ avec son père et que son frère réside à J.________. En revanche, il est de nationalité G.________, a des dettes pour plus de CHF 11'000.- et n’a plus d’emploi. A ce sujet, son activité professionnelle est susceptible d’être reprise presque partout dans le monde puisqu’exercée dans la restauration. Partant, il peut être admis que c’est à juste titre que le Tmc a retenu que le risque de fuite est concret. Le grief du recourant doit ainsi être rejeté.</w:t>
      </w:r>
    </w:p>
    <w:p>
      <w:r>
        <w:rPr>
          <w:b/>
        </w:rPr>
        <w:t>E. 4.1</w:t>
      </w:r>
    </w:p>
    <w:p>
      <w:r>
        <w:t>Le principe de la proportionnalité a été on ne peut mieux respecté en l’ordonnance attaquée par la durée de la prolongation de la détention prononcée. La Chambre pénale se limite à faire sienne l’argumentation pertinente du Tmc.</w:t>
      </w:r>
    </w:p>
    <w:p>
      <w:r>
        <w:rPr>
          <w:b/>
        </w:rPr>
        <w:t>E. 4.2</w:t>
      </w:r>
    </w:p>
    <w:p>
      <w:r>
        <w:t>Pour le surplus, la détention limitée à une durée de 6 mois paraît proportionnée à la sanction à laquelle le recourant s’expose si les forts soupçons à son encontre sont confirmés.</w:t>
      </w:r>
    </w:p>
    <w:p>
      <w:r>
        <w:rPr>
          <w:b/>
        </w:rPr>
        <w:t>E. 5.1</w:t>
      </w:r>
    </w:p>
    <w:p>
      <w:r>
        <w:t>La Chambre pénale arrête elle-même l’indemnité du défenseur d’office pour la procédure de recours selon l’art. 57 al. 1 et 2 RJ (RFJ 2015 73). En l’espèce, pour la rédaction du recours, pour l’examen des déterminations du Ministère public et du Tmc et la lecture du présent arrêt, 4 heures de travail paraissent raisonnables, auxquelles s’ajoutent les débours (5 %) et la TVA (7,7 %). L’indemnité sera dès lors fixée à CHF 720.-, débours par CHF 36.- et TVA par CHF 58.20 en sus (cf. art. 56 ss du RJ).</w:t>
      </w:r>
    </w:p>
    <w:p>
      <w:r>
        <w:rPr>
          <w:b/>
        </w:rPr>
        <w:t>E. 5.2</w:t>
      </w:r>
    </w:p>
    <w:p>
      <w:r>
        <w:t>Au vu de l’issue du recours, les frais de la procédure de recours, arrêtés à CHF 1'414.20 (émolument: CHF 500.-; débours: CHF 100.-; frais de défense d'office: CHF 814.20), sont mis à la charge du recourant (art. 428 al. 1 CPP). Le remboursement à l'Etat de l'indemnité du défenseur d’office sera exigible dès que la situation économique de A.________ le permettra. (dispositif en page suivante)</w:t>
      </w:r>
    </w:p>
    <w:p>
      <w:r>
        <w:t>Tribunal cantonal TC Page 6 de 6 la Chambre arrête : I. Le recours est rejeté. Partant, l’ordonnance du 14 mai 2019 du Tribunal des mesures de contrainte prolongeant la détention provisoire de A.________ jusqu’au 14 juillet 2019 est confirmée. II. L’indemnité due à Me Emmanuelle Martinez-Favre, défenseur d’office, pour la procédure de recours est arrêtée à CHF 814.20, débours par CHF 36.- et TVA par CHF 58.20 compris. III. Les frais de procédure, fixés à CHF 1'414.20 (émolument: CHF 500.-; débours: CHF 100.-; frais de défense d’office: CHF 814.20),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juin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