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273 vom 28. November 2018</w:t>
      </w:r>
    </w:p>
    <w:p>
      <w:r>
        <w:t>FR Kantonsgericht, 2018-11-28, FR</w:t>
      </w:r>
    </w:p>
    <w:p>
      <w:r>
        <w:rPr>
          <w:b/>
        </w:rPr>
        <w:t xml:space="preserve">Quelle: </w:t>
      </w:r>
      <w:r>
        <w:t>https://mcp.opencaselaw.ch/entscheid/fr_gerichte_502_2018_273</w:t>
      </w:r>
    </w:p>
    <w:p>
      <w:r>
        <w:t>FR: FR_GERICHTE 502 2018 273 du 28 novembre 2018</w:t>
      </w:r>
    </w:p>
    <w:p>
      <w:r>
        <w:t>IT: FR_GERICHTE 502 2018 273 del 28 novembre 2018</w:t>
      </w:r>
    </w:p>
    <w:p>
      <w:pPr>
        <w:pStyle w:val="Heading2"/>
      </w:pPr>
      <w:r>
        <w:t>Regeste</w:t>
      </w:r>
    </w:p>
    <w:p>
      <w:r>
        <w:t>Arrêt de la Chambre pénale du Tribunal cantonal | Strafrecht</w:t>
      </w:r>
    </w:p>
    <w:p>
      <w:pPr>
        <w:pStyle w:val="Heading2"/>
      </w:pPr>
      <w:r>
        <w:t>Erwägungen</w:t>
      </w:r>
    </w:p>
    <w:p>
      <w:r>
        <w:rPr>
          <w:b/>
        </w:rPr>
        <w:t>E. 9</w:t>
      </w:r>
    </w:p>
    <w:p>
      <w:r>
        <w:t>novembre 2018. 3. Vu l’issue du pourvoi et en application des art. 428 al. 1 CPP, 33 ss et 43 du Règlement sur la justice (RJ), les frais de la procédure de recours seront mis à la charge du recourant. la Chambre arrête: I. Le recours est rejeté. Partant, la décision du Juge de police de l’arrondissement de la Veveyse du 9 novembre 2018 est confirmée. II. Les frais de la procédure de recours, arrêtés à CHF 400.- (émolument: CHF 350.-;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novembre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