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251 vom 13. November 2018</w:t>
      </w:r>
    </w:p>
    <w:p>
      <w:r>
        <w:t>FR Kantonsgericht, 2018-11-13, FR</w:t>
      </w:r>
    </w:p>
    <w:p>
      <w:r>
        <w:rPr>
          <w:b/>
        </w:rPr>
        <w:t xml:space="preserve">Quelle: </w:t>
      </w:r>
      <w:r>
        <w:t>https://mcp.opencaselaw.ch/entscheid/fr_gerichte_502_2018_251</w:t>
      </w:r>
    </w:p>
    <w:p>
      <w:r>
        <w:t>FR: FR_GERICHTE 502 2018 251 du 13 novembre 2018</w:t>
      </w:r>
    </w:p>
    <w:p>
      <w:r>
        <w:t>IT: FR_GERICHTE 502 2018 251 del 13 novembre 2018</w:t>
      </w:r>
    </w:p>
    <w:p>
      <w:pPr>
        <w:pStyle w:val="Heading2"/>
      </w:pPr>
      <w:r>
        <w:t>Regeste</w:t>
      </w:r>
    </w:p>
    <w:p>
      <w:r>
        <w:t>Arrêt de la Chambre pénale du Tribunal cantonal | Strafrecht</w:t>
      </w:r>
    </w:p>
    <w:p>
      <w:pPr>
        <w:pStyle w:val="Heading2"/>
      </w:pPr>
      <w:r>
        <w:t>Volltext</w:t>
      </w:r>
    </w:p>
    <w:p>
      <w:r>
        <w:t>Tribunal cantonal TC Kantonsgericht KG Rue des Augustins 3, case postale 1654, 1701 Fribourg T +41 26 304 15 00 tribunalcantonal@fr.ch www.fr.ch/tc — Pouvoir Judiciaire PJ Gerichtsbehörden GB 502 2018 251 Arrêt du 13 novembre 2018 Chambre pénale Composition Président: Hubert Bugnon Juges: Jérôme Delabays, Sandra Wohlhauser Greffière: Sophie Riedo Parties A.________, recourante contre MINISTERE PUBLIC, autorité intimée Objet Contestation de for Recours du 22 octobre 2018 contre l'ordonnance du Ministère public du 9 octobre 2018</w:t>
      </w:r>
    </w:p>
    <w:p>
      <w:r>
        <w:t>Tribunal cantonal TC Page 2 de 3 attendu que par acte adressé au Ministère public le 12 mars 2018, la Juge de paix B.________ a porté plainte contre un ou plusieurs inconnus, possiblement contre A.________ et C.________, pour diffamation et calomnie suite à la diffusion sur l'Internet d'un article qui porterait atteinte à son honneur; qu'à la suite de l'annulation, le 31 juillet 2018, d'une ordonnance de non-entrée en matière, une investigation préalable de police a été mise en œuvre le 13 août 2018; que par ordonnance du 9 octobre 2018, le Ministère public n'a pas accédé à la demande de A.________ de transmettre l'affaire aux autorités vaudoises, compétentes selon elle, au motif que la demande est prématurée vu que la plainte a été déposée contre inconnu; que par lettre adressée le 22 octobre 2018, dans le délai et la forme prescrits par les art. 396 al. 1 et 385 al. 1 du Code de procédure pénale (CPP), A.________ a interjeté recours contre cette décision; que selon l'art. 31 al. 1 CPP, est compétente pour la poursuite pénale l'autorité du lieu où l'acte a été commis. Si le lieu de commission n'est pas déterminable, l'est celle du lieu où le prévenu a son domicile (art. 32 al. 1 CPP). Si l'infraction a été commise par plusieurs coauteurs, l'autorité compétente est celle du lieu où les premiers actes de poursuite ont été entrepris (art. 33 al. 2 CPP); qu'en l'espèce la plainte est dirigée contre un ou plusieurs inconnus, avec soupçons portés sur A.________, domiciliée dans le canton de Vaud, et C.________, domiciliée dans le canton de Neuchâtel; qu'en l'état, vu la participation possible de plusieurs personnes, fixer le for est prématuré, d'autant que, par surabondance, seule une investigation préalable de police est en cours; que le recours doit dès lors être rejeté; que les frais y relatifs doivent être mis à la charge de la recourante comme le prévoit l'art. 428 al. 1 CPP, et qu'ils seront fixés selon le tarif prévu aux art. 33 ss et 43 du Règlement sur la justice. (dispositif en page suivante)</w:t>
      </w:r>
    </w:p>
    <w:p>
      <w:r>
        <w:t>Tribunal cantonal TC Page 3 de 3 la Chambre arrête: I. Le recours est rejeté. II. Les frais de la procédure sont fixés à CHF 300.- (émolument: CHF 250.-; débours: CHF 50.-) et sont mis à la charge de A.________. III.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13 novembre 2018/sri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