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171 vom 14. November 2018</w:t>
      </w:r>
    </w:p>
    <w:p>
      <w:r>
        <w:t>FR Kantonsgericht, 2018-11-14, FR</w:t>
      </w:r>
    </w:p>
    <w:p>
      <w:r>
        <w:rPr>
          <w:b/>
        </w:rPr>
        <w:t xml:space="preserve">Quelle: </w:t>
      </w:r>
      <w:r>
        <w:t>https://mcp.opencaselaw.ch/entscheid/fr_gerichte_502_2018_171</w:t>
      </w:r>
    </w:p>
    <w:p>
      <w:r>
        <w:t>FR: FR_GERICHTE 502 2018 171 du 14 novembre 2018</w:t>
      </w:r>
    </w:p>
    <w:p>
      <w:r>
        <w:t>IT: FR_GERICHTE 502 2018 171 del 14 novembre 2018</w:t>
      </w:r>
    </w:p>
    <w:p>
      <w:pPr>
        <w:pStyle w:val="Heading2"/>
      </w:pPr>
      <w:r>
        <w:t>Regeste</w:t>
      </w:r>
    </w:p>
    <w:p>
      <w:r>
        <w:t>Arrêt de la Chambre pénale du Tribunal cantonal | Nichtanhandnahme (Art. 310 StPO)</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dans les dix jours devant l’autorité de recours (art. 310 al. 2, 322 al. 2 et 396 al. 1 CPP; art. 20 al. 1 let. b CPP) qui est dans le canton de Fribourg la Chambre pénale du Tribunal cantonal (art. 85 al. 2 LJ [loi du 31 mai 2010 sur la justice). Le recours a été interjeté dans le délai légal par la partie plaignante, qui a la qualité pour recourir (cf. art. 382 al. 1 CPP).</w:t>
      </w:r>
    </w:p>
    <w:p>
      <w:r>
        <w:rPr>
          <w:b/>
        </w:rPr>
        <w:t>E. 2.1</w:t>
      </w:r>
    </w:p>
    <w:p>
      <w:r>
        <w:t>Le recours doit être motivé (art. 396 al. 1 CPP) et indiquer précisément les motifs qui commandent une autre décision (art. 385 al. 1 lit.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w:t>
      </w:r>
    </w:p>
    <w:p>
      <w:r>
        <w:t>Tribunal cantonal TC Page 3 de 4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2e instance n'a en effet pas à s'inquiéter du fait que le recourant présente une argumentation optimale (arrêt TF 6B_120/2016 du 20 juin 2016 consid. 3.1; voir aussi BSK StPO- ZIEGLER/KELLER, art. 385 n. 4; DONATSCH/HANSJAKOB/LIEBER, Kommentar zur Schweizerischen Strafprozessordnung (StPO), 2014, art. 385 n. 3, et références).</w:t>
      </w:r>
    </w:p>
    <w:p>
      <w:r>
        <w:rPr>
          <w:b/>
        </w:rPr>
        <w:t>E. 2.2</w:t>
      </w:r>
    </w:p>
    <w:p>
      <w:r>
        <w:t>En l’espèce, le Ministère public a relevé dans sa décision du 20 juillet 2018 qu’à supposer que le recourant ait été victime de lésion corporelle grave par négligence en 2009, une telle infraction serait désormais prescrite. A.________ ne tente pas de démontrer en quoi le Ministère public se serait mépris sur ce point. Il n’aborde pas cette question, de même qu’il ne fait aucune allusion au motif pour lequel l’autorité intimée a rejeté l’infraction de recel, soit l’absence manifeste de tout vol préalable. Cela conduit à l’irrecevabilité du recours, sans procédure de régularisation.</w:t>
      </w:r>
    </w:p>
    <w:p>
      <w:r>
        <w:rPr>
          <w:b/>
        </w:rPr>
        <w:t>E. 2.3</w:t>
      </w:r>
    </w:p>
    <w:p>
      <w:r>
        <w:t>Au demeurant, une ordonnance de non-entrée en matière peut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Or, en l’occurrence, sauf à se plaindre d’être victime d’injustices répétées, le recourant n’apporte pas le début d’un élément probant pouvant faire penser qu’il a été victime d’une infraction. Ses explications sont embrouillées. Des pièces produites, en particulier du rapport du Dr C.________ du 12 juillet 2018, ne naît pas le moindre soupçon que tel aurait été le cas. On comprend certes que le recourant vit une période difficile de sa vie, ce depuis des années, puisqu’il est sans revenu, soutenu par les services sociaux, et souffre dans sa chair. Cela n’implique pas l’existence d’infraction pénale ni la nécessité d’ouvrir une enquête.</w:t>
      </w:r>
    </w:p>
    <w:p>
      <w:r>
        <w:rPr>
          <w:b/>
        </w:rPr>
        <w:t>E. 3</w:t>
      </w:r>
    </w:p>
    <w:p>
      <w:r>
        <w:t>Les frais de procédure y relatifs (cf. art. 424 CPP, 33 ss et 43 RJ) doivent être mis à la charge du recourant en application de l'art. 428 al. 1 CPP. Sur le vu du sort donné au recours, il n’y a en effet pas matière à assistance judiciaire (art. 136 al. 1 let. b CPP). Pour tenir compte de la</w:t>
      </w:r>
    </w:p>
    <w:p>
      <w:r>
        <w:t>Tribunal cantonal TC Page 4 de 4 situation délicate de A.________, les frais seront fixés au minimum légal, soit CHF 100.-, et prélevés sur le montant qu’il a déjà versé à titre d’avance. la Chambre arrête: I. Le recours est irrecevable. II. La requête d’assistance judiciaire est rejetée. III. Les frais judiciaires sont fixés à CHF 100.-. Ils sont mis à la charge de A.________ et prélevés sur son avance.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novembre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