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137 vom 15. Februar 2019</w:t>
      </w:r>
    </w:p>
    <w:p>
      <w:r>
        <w:t>FR Kantonsgericht, 2019-02-15, FR</w:t>
      </w:r>
    </w:p>
    <w:p>
      <w:r>
        <w:rPr>
          <w:b/>
        </w:rPr>
        <w:t xml:space="preserve">Quelle: </w:t>
      </w:r>
      <w:r>
        <w:t>https://mcp.opencaselaw.ch/entscheid/fr_gerichte_502_2018_137</w:t>
      </w:r>
    </w:p>
    <w:p>
      <w:r>
        <w:t>FR: FR_GERICHTE 502 2018 137 du 15 février 2019</w:t>
      </w:r>
    </w:p>
    <w:p>
      <w:r>
        <w:t>IT: FR_GERICHTE 502 2018 137 del 15 febbraio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et 322 al. 2 du code de procédure pénale suisse du</w:t>
      </w:r>
    </w:p>
    <w:p>
      <w:r>
        <w:rPr>
          <w:b/>
        </w:rPr>
        <w:t>E. 1.2</w:t>
      </w:r>
    </w:p>
    <w:p>
      <w:r>
        <w:t>Selon les art. 322 al. 2 et 396 al. 1 CPP, le recours est adressé par écrit, dans le délai de dix jours, à l'autorité de recours. En l'espèce, la date de notification de l'ordonnance du 20 juin 2018 ne ressort pas du dossier. Cependant, elle a été notifiée au plus tôt le 21 juin 2018, de sorte que le délai légal, qui arrivait à échéance le samedi 30 juin 2018, a été reporté au lundi 2 juillet 2018, soit le premier jour ouvrable suivant (art. 90 al. 2 CPP). Par conséquent, le recours déposé le 2 juillet 2018 l'a été en temps utile.</w:t>
      </w:r>
    </w:p>
    <w:p>
      <w:r>
        <w:rPr>
          <w:b/>
        </w:rPr>
        <w:t>E. 1.3.1</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et au civil. Une plainte pénale équivaut à une telle déclaration (art. 118 al. 1 et 2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références citées; Message relatif à l'unification du droit de la procédure pénale du 21 décembre 2005, FF 2006 p. 1148).</w:t>
      </w:r>
    </w:p>
    <w:p>
      <w:r>
        <w:rPr>
          <w:b/>
        </w:rPr>
        <w:t>E. 1.3.2</w:t>
      </w:r>
    </w:p>
    <w:p>
      <w:r>
        <w:t>En l'espèce, l'infraction de l'art. 144bis CP protège non seulement l'intégrité des données, mais également l'intérêt – individuel – de l'ayant droit à un usage sans perturbation. Par conséquent, la qualité pour recourir du recourant, qui explique autant que faire ce peut en quoi il serait lésé et directement atteint, doit être admise.</w:t>
      </w:r>
    </w:p>
    <w:p>
      <w:r>
        <w:rPr>
          <w:b/>
        </w:rPr>
        <w:t>E. 1.4.1</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Le recourant doit exposer concrètement et spécifiquement en quoi la décision qu’il attaque contrevient aux motifs dont il se prévaut (CR CPP-CALAME, 2011,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w:t>
      </w:r>
    </w:p>
    <w:p>
      <w:r>
        <w:t>Tribunal cantonal TC Page 4 de 7 CPP). Une telle possibilité ne peut toutefois être offerte au recourant que lorsque l’exposé de son mémoire de recours est insuffisant (BSK StPO-ZIEGLER/KELLER, 2e éd.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2e instance n’a en effet pas à s’inquiéter du fait que le recourant présente une argumentation optimale (BSK StPO-ZIEGLER/KELLER, art. 385 n. 4; DONATSCH/HANSJAKOB/LIEBER, Kommentar zur Schweizerischen Strafprozessordnung (StPO), 2e éd. 2014, art. 385 n. 3 et les références citées).</w:t>
      </w:r>
    </w:p>
    <w:p>
      <w:r>
        <w:rPr>
          <w:b/>
        </w:rPr>
        <w:t>E. 1.4.2</w:t>
      </w:r>
    </w:p>
    <w:p>
      <w:r>
        <w:t>En l'espèce, le mémoire de recours présente une certaine prolixité. Il mélange des argumentations qui ne concernent pas l'objet du recours et portent sur d'autres procédures pénales et civiles, mais aussi administratives. Il manque de clarté dans les griefs entremêlés, formulés tantôt à l'encontre d'autres ordonnances rendues par le Ministère public, tantôt à l'encontre d'une décision du Juge de police de la Sarine dans diverses causes concernant notamment le recourant et sa fille, ou encore de manière générale à l'encontre de l'Etat, en lien avec la demande d'autorisation de séjour déposée par lui et son épouse pour le compte de ses parents. Il aurait pu être retourné à l'expéditeur (art. 110 al. 4 CPP). Il ne l'a toutefois pas été, mais il n'en demeure pas moins que le droit d'être entendu (art. 29 al. 2 Cst.) n'impose pas à la Chambre l'obligation d'exposer et de discuter tous les faits, moyens de preuve et griefs invoqués par le recourant, puisqu'elle peut au contraire se limiter à ceux qui, sans arbitraire, lui paraissent pertinents (cf. not. ATF 133 III 439 consid. 3.3).</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5</w:t>
      </w:r>
    </w:p>
    <w:p>
      <w:r>
        <w:t>octobre 2007 (CPP; RS 312.0), la voie du recours à la Chambre pénale est ouverte contre une ordonnance de non-entrée en matière.</w:t>
      </w:r>
    </w:p>
    <w:p>
      <w:r>
        <w:t>Tribunal cantonal TC Page 3 de 7</w:t>
      </w:r>
    </w:p>
    <w:p>
      <w:r>
        <w:rPr>
          <w:b/>
        </w:rPr>
        <w:t>E. 10</w:t>
      </w:r>
    </w:p>
    <w:p>
      <w:r>
        <w:t>décembre 2013 consid. 1.4; arrêt TC FR 502 2014 217 du 12 décembre 2014 consid. 2a). Une ordonnance de non-entrée en matière peut également être rendue pour des motifs juridiques, par</w:t>
      </w:r>
    </w:p>
    <w:p>
      <w:r>
        <w:t>Tribunal cantonal TC Page 5 de 7 exemple lorsqu’il apparaît d’emblée que le comportement dénoncé ne constitue pas une infraction et n’est par conséquent pas punissable, ce qui est par exemple le cas lorsque le litige est de nature purement civile (PC CPP, 2016, art. 310 CPP n. 7 et les références citées). La question juridique doit être claire. En cas de doute, le procureur ne peut pas retenir que l’absence de réalisation d’un élément constitutif soit manifeste, au sens exigé par la loi (CR CPP-CORNU, art. 310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voir aussi arrêts TF 6B_721/2016 du 10 mars 2017 consid. 2.1 et la référence citée, 6B_701/2014 du 14 novembre 2014 consid. 2.1). Une non-entrée en matière s’impose lorsque le litige est de nature purement civile (ATF 137 IV 285 consid. 2.3). 2.2. Le Ministère public a relevé, dans l’ordonnance de non-entrée en matière attaquée, qu'au vu de la détermination de la Caisse de compensation du canton de Fribourg, les éléments au dossier ne permettaient pas de mettre en évidence la commission d'une quelconque infraction pénale. Il a rapporté que, selon la Caisse de compensation du canton de Fribourg, celle-ci n'était pas compétente pour traiter les allocations familiales mentionnées dans la plainte; elle n'avait d'ailleurs à ce titre jamais versé d'allocations familiales à A.________, ces dernières étant versées par la Caisse à laquelle le plaignant était affilié, à savoir la Caisse d'allocations familiales du canton de Berne (CAB). Ainsi, il a estimé qu'il ne convenait pas de donner d'autres suites à la procédure. 2.3. Le recourant explique que la caisse de compensation du canton de Fribourg subordonnée au service du personnel (SPO) lui a versé des allocations familiales. Il soutient qu'une autorité cantonale, ou son autorité de surveillance ayant accès au RAFam, a modifié ses données personnelles lui octroyant la qualité d'ayant droit aux allocations familiales, ce qui a contraint son employeur à lui déduire la différence pour le versement des allocations de formation en faveur de ses enfants C.________ et D.________. Cette intrusion dans ses données personnelles par un organe ayant un accès illimité au RAFam se serait déjà produite à plusieurs reprises, depuis 2016, modifiant de manière infondée ses données relatives à son identité. 2.4. 2.4.1. Aux termes de l'art. 144bis ch. 1 CP, celui qui, sans droit, aura modifié, effacé, ou mis hors d'usage des données enregistrées ou transmises électroniquement ou selon un mode similaire sera, sur plainte, puni d'une peine privative de liberté de trois ans au plus ou d'une peine pécuniaire. Si l'auteur a causé un dommage considérable, le juge pourra prononcer une peine privative de liberté de un à cinq ans. La poursuite aura lieu d'office. Au titre des conditions objectives, l'art. 144bis ch.1 CP exige des données informatiques comme objet de l'infraction. La donnée se définit comme une information relative à un état de fait, représentée sous forme de lettres, de nombres, de signes, de dessins etc., qui est transmise, traitée ou conservée en vue d'une utilisation ultérieure (PC CP, 2e éd. 2017, art. 143 n. 7 et la</w:t>
      </w:r>
    </w:p>
    <w:p>
      <w:r>
        <w:t>Tribunal cantonal TC Page 6 de 7 référence citée). Le terme informatique se rapporte pour sa part à l'enregistrement de telles informations, sous une forme généralement codée et non perceptible à l'œil, de façon à permettre leur traitement au sein de systèmes informatiques (CR CP II-MONNIER, 2017, art. 143 n. 3 et les références citées). L'art. 144bis ch. 1 CP protège l'intégrité des données informatiques et l'intérêt de l'ayant droit à un usage sans perturbation. Le comportement typique de l'auteur doit être un acte de détérioration. L'auteur doit agir sans en avoir le droit, ce qui n'est pas le cas lorsqu'il est lui- même le maître des données concernées ou lorsque la volonté expresse ou tacite de l'ayant-droit ou une autorisation légale a été donnée. A teneur de l'art. 144bis ch. 1 CP, les comportements délictueux réprimés consistent en la modification, l'effacement ou la mise hors d'usage des données. Chaque remaniement de données enregistrées constitue une modification qui peut intervenir par une suppression partielle, par un ajout apporté à un texte, qu'il s'agisse d'une modification de fond ou de forme, ou encore par une association avec d'autres données, comme l'introduction de virus informatiques (BSK Strafrecht II-WEISSENBERGER, 4 éd. 2019, art. 144bis n. 21). L'effacement consiste en la modification par excellence: la donnée enregistrée ne se trouve plus sur son support électronique et a été retirée de la communication. La norme a aussi été étendue à la mise hors d'usage qui ne requiert pas nécessairement que la donnée soit intrinsèquement atteinte; il suffit qu'elle ne puisse plus être utilisée, autrement dit point n'est besoin que l'atteinte touche en elle-même la donnée (PC CP, art. 144bis n. 10-12 et les références citées; CR CP II-MONNIER, art. 144bis n. 3 et 4 et les références citées). Sur le plan subjectif, la détérioration de données est une infraction intentionnelle, le dol éventuel étant toutefois suffisant (CR CP II-MONNIER, art. 144bis n. 6 et les références citées). La détérioration de données par négligence n'est pas pénalement réprimée. L'intention doit être réalisée en ce qui concerne l'ensemble des éléments constitutifs de l'infraction. Dans la pratique, l'erreur sur les faits et l'illicéité devront plus particulièrement être examinées (BSK Strafrecht II-WEISSENBERGER, art. 144bis n. 37 s.). 2.4.2. Selon l'art. 21a de la loi fédérale sur les allocations familiales du 24 mars 2006 (LAFam; RS 836.2), la Centrale de compensation tient un registre des allocations familiales dans le but de prévenir le cumul d'allocations familiales visé à l'art. 6 LAFam (let. a), d'établir la transparence sur les allocations familiales versées (let. b), de soutenir les services cités à l'art. 21c LAFam dans l'exécution de la loi (let. c) ainsi que d'informer la Confédération et les cantons et fournir les données nécessaires aux analyses statistiques (let. d). L'accès aux données en ligne au registre des allocations familiales est déterminé à l'art. 18b de l'Ordonnance sur les allocations familiales du 31 octobre 2007 (OAFam; RS 836.21). Ont notamment accès au registre des allocations familiales par une procédure d'appel les services cité à l'art. 21c LAFam, à savoir les caisses de compensation pour allocations familiales au sens de l'art. 14 LAFam (art. 21c let. a LAFam). L'art. 18c OAFam dispose que dès que la caisse de compensation ou un autre service cités à l'art. 21c LAFam accepte une demande d'allocations familiales ou effectue une modification influençant le droit aux allocations, elle communique les données selon l'art. 18a al. 1 OAFam à la Centrale de compensation dans le délai d'un jour ouvré. 2.5. En l'espèce, il ressort des pièces produites par le recourant que celui-ci a perçu des allocations de formation de la part de la Caisse publique de chômage du canton de Fribourg lorsqu'il était au chômage (cf. pièce 3 bordereau du recourant). Les allocations familiales des personnes sans activité lucrative relèvent en effet du canton dans lequel elles sont domiciliées (cf. art. 19 al. 1 LAFam). On ignore en revanche combien de temps le recourant, domicilié dans le canton de Fribourg, a été sans emploi et par conséquent jusqu'à quand il a perçu des allocations</w:t>
      </w:r>
    </w:p>
    <w:p>
      <w:r>
        <w:t>Tribunal cantonal TC Page 7 de 7 de formation de la part de son canton de domicile. Le recourant n'allègue rien à ce sujet. Il appert cependant que son nouvel employeur a porté le montant des allocations de formation de ses enfants en déduction de son salaire du mois d'avril 2018 (DO 2005 et pièce 2 du bordereau du recourant). On peut donc en déduire qu'il avait un nouveau travail dans le canton de Berne à cette période. La prise d'un nouvel emploi a pour conséquence le versement des allocations par la caisse de l'employeur, soit en l'occurrence la Caisse d'allocations familiales du canton de Berne (CAB). Une telle situation entraîne des modifications de part et d'autre pour les caisses de compensation et l'employeur, ce qui peut engendrer certaines compensations avant que la situation ne se régularise. Quoi qu'il en soit, les faits dénoncés par le recourant ne permettent pas de mettre en évidence la commission d'une infraction au sens de l'art. 144bis CP. La compensation effectuée par l'employeur du recourant semble davantage liée aux changements dans sa situation personnelle qu'il n'étaye pas, ni dans sa plainte, ni dans son recours. Compte tenu de ce qui précède, le recours doit être rejeté et l'ordonnance de non-entrée en matière confirmée. 3. 3.1. Au vu du rejet du recours, il se justifie de mettre les frais de la procédure de recours, fixés à CHF 500.- (émolument: CHF 450.-; débours: CHF 50.-), à la charge de A.________ (art. 428 al. 4 CPP). Le montant de CHF 500.- versé en trop lui sera toutefois remboursé. 3.2. Le recourant succombant dans son recours, il ne lui sera pas alloué d'indemnité. la Chambre arrête: I. Le recours contre l'ordonnance de non-entrée en matière est rejeté. Partant, l'ordonnance de non-entrée en matière du 20 juin 2018 dans le dossier F 18 4643 est confirmée. II. Les frais de la procédure de recours sont fixés à CHF 500.- (émolument: CHF 450.-; débours: CHF 50.-) et sont mis à la charge de A.________. Ils seront prélevés sur les sûretés prestées, le montant de CHF 500.- versé en trop par A.________ lui étant remboursé par le Service comptable du Tribunal cantonal. III. Il n'est pas alloué d'indemnité à A.________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février 2019/ege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