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68 vom 6. Juni 2017</w:t>
      </w:r>
    </w:p>
    <w:p>
      <w:r>
        <w:t>FR Kantonsgericht, 2017-06-06, FR</w:t>
      </w:r>
    </w:p>
    <w:p>
      <w:r>
        <w:rPr>
          <w:b/>
        </w:rPr>
        <w:t xml:space="preserve">Quelle: </w:t>
      </w:r>
      <w:r>
        <w:t>https://mcp.opencaselaw.ch/entscheid/fr_gerichte_502_2017_68</w:t>
      </w:r>
    </w:p>
    <w:p>
      <w:r>
        <w:t>FR: FR_GERICHTE 502 2017 68 du 6 juin 2017</w:t>
      </w:r>
    </w:p>
    <w:p>
      <w:r>
        <w:t>IT: FR_GERICHTE 502 2017 68 del 6 giugno 2017</w:t>
      </w:r>
    </w:p>
    <w:p>
      <w:pPr>
        <w:pStyle w:val="Heading2"/>
      </w:pPr>
      <w:r>
        <w:t>Regeste</w:t>
      </w:r>
    </w:p>
    <w:p>
      <w:r>
        <w:t>Arrêt de la Chambre pénale du Tribunal cantonal | Beschlagnahme (Art. 263 – 268 StPO)</w:t>
      </w:r>
    </w:p>
    <w:p>
      <w:pPr>
        <w:pStyle w:val="Heading2"/>
      </w:pPr>
      <w:r>
        <w:t>Erwägungen</w:t>
      </w:r>
    </w:p>
    <w:p>
      <w:r>
        <w:rPr>
          <w:b/>
        </w:rPr>
        <w:t>E. 1</w:t>
      </w:r>
    </w:p>
    <w:p>
      <w:r>
        <w:t>Le recours est admis. Partant, le dispositif de la décision attaquée est modifié comme suit: ‘ Le séquestre pénal est levé. La poursuite n° lll engagée par les recourantes suit son cours sur le produit de la vente de la part de D.________ dans la liquidation de la société simple qu’il forme avec son épouse, dont l’actif principal est le bien fonds no eee immatriculé sur la commune de G.________’.</w:t>
      </w:r>
    </w:p>
    <w:p>
      <w:r>
        <w:rPr>
          <w:b/>
        </w:rPr>
        <w:t>E. 2</w:t>
      </w:r>
    </w:p>
    <w:p>
      <w:r>
        <w:t>Les frais du présent recours sont mis à la charge de l’Etat de Fribourg.</w:t>
      </w:r>
    </w:p>
    <w:p>
      <w:r>
        <w:t>Tribunal cantonal TC Page 3 de 6</w:t>
      </w:r>
    </w:p>
    <w:p>
      <w:r>
        <w:rPr>
          <w:b/>
        </w:rPr>
        <w:t>E. 3</w:t>
      </w:r>
    </w:p>
    <w:p>
      <w:r>
        <w:t>Quant aux frais de la procédure de recours, vu le sort de celui-ci, ils doivent être mis à la charge des recourantes, comme le prévoit l'art. 428 al. 1 CPP, et ils seront fixés selon le tarif prévu aux art. 33 ss du Règlement sur la justice.</w:t>
      </w:r>
    </w:p>
    <w:p>
      <w:r>
        <w:t>Tribunal cantonal TC Page 6 de 6 Pour la même raison, l'indemnité requis par les recourantes ne saurait leur être allouée. En revanche, l’intimé quant à lui a droit à l’octroi d’une indemnité au sens de l’art. 429 al. 1 let. a CPP par renvoi de l’art. 436 al. 1 CPP. L’indemnisation découlant des art. 429 al. 1 let. a, 432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(art. 75a al. 2 RJ). En l'espèce, l’assistance d’un mandataire était nécessaire s’agissant d’une question juridique technique pour un non juriste, d'autant qu'en face les recourantes étaient assistées d'un conseil. S'agissant du montant de l'indemnité, il convient de retenir que les observations sont très brèves et pouvaient s’appuyer sur la décision du Ministère public, laquelle ne prétéritait en rien ses intérêts. Dès lors, pour la prise de connaissance du recours, l’établissement des observations ainsi que l’analyse du présent arrêt, le temps y relatif peut être estimé à environ 1.5 heures de travail. L’indemnité sera dès lors fixée à CHF 400.-, débours compris mais la TVA par CHF 32.- en sus, et sera mise à la charge de l’Etat. la Chambre arrête: I. Le recours est rejeté dans la mesure où il est recevable. Partant, la décision du Ministère public du 21 février 2017 est confirmée. II. Les frais de la procédure de recours sont fixés à CHF 600.- (émolument: CHF 500.-; débours: CHF 100.-) et sont mis à la charge de A.________, B.________ et C.________, solidairement. III. La requête d’indemnité des recourantes est rejetée. IV. Une indemnité de CHF 432.-, TVA comprise, est allouée à D.________; elle est mise à la charge de l’Etat.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juin 2017/abj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