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330 vom 11. Januar 2018</w:t>
      </w:r>
    </w:p>
    <w:p>
      <w:r>
        <w:t>FR Kantonsgericht, 2018-01-11, FR</w:t>
      </w:r>
    </w:p>
    <w:p>
      <w:r>
        <w:rPr>
          <w:b/>
        </w:rPr>
        <w:t xml:space="preserve">Quelle: </w:t>
      </w:r>
      <w:r>
        <w:t>https://mcp.opencaselaw.ch/entscheid/fr_gerichte_502_2017_330</w:t>
      </w:r>
    </w:p>
    <w:p>
      <w:r>
        <w:t>FR: FR_GERICHTE 502 2017 330 du 11 janvier 2018</w:t>
      </w:r>
    </w:p>
    <w:p>
      <w:r>
        <w:t>IT: FR_GERICHTE 502 2017 330 del 11 gennaio 2018</w:t>
      </w:r>
    </w:p>
    <w:p>
      <w:pPr>
        <w:pStyle w:val="Heading2"/>
      </w:pPr>
      <w:r>
        <w:t>Regeste</w:t>
      </w:r>
    </w:p>
    <w:p>
      <w:r>
        <w:t>Arrêt de la Chambre pénale du Tribunal cantonal | Ausstand (Art. 56-60 StPO; 18 JG)</w:t>
      </w:r>
    </w:p>
    <w:p>
      <w:pPr>
        <w:pStyle w:val="Heading2"/>
      </w:pPr>
      <w:r>
        <w:t>Erwägungen</w:t>
      </w:r>
    </w:p>
    <w:p>
      <w:r>
        <w:rPr>
          <w:b/>
        </w:rPr>
        <w:t>E. 1</w:t>
      </w:r>
    </w:p>
    <w:p>
      <w:r>
        <w:t>Par mémoire du 20 décembre 2017, A.________ a saisi le Ministère public d'une dénonciation/plainte dans laquelle il expose tant ses griefs à l'encontre du Préfet du district de la Veveyse qui, écrit-il, en résumé, l'a violemment saisi par une épaule le 12 décembre 2017 pour le faire sortir de la Préfecture de ce district et a par ailleurs souillé la place publique en y jetant «des déchets», soit les documents apportés par le demandeur pour dénoncer des dysfonctionnements dans le canton et ailleurs, qu'il venait de chiffonner, que ses griefs sur le déroulement de la procédure de son divorce, ses griefs à l'encontre du Président du Conseil national, dont il demande la destitution, et ceux à l'encontre de la mère d'un Conseiller fédéral. Dans le même mémoire, il demande en outre la récusation du Procureur général en raison de la relation entre celui-ci et celle qui est actuellement Vice-Chancelière et qui était auparavant greffière en chef au Ministère public.</w:t>
      </w:r>
    </w:p>
    <w:p>
      <w:r>
        <w:rPr>
          <w:b/>
        </w:rPr>
        <w:t>E. 2</w:t>
      </w:r>
    </w:p>
    <w:p>
      <w:r>
        <w:t>Dans sa détermination du 28 décembre 2017, le Procureur général conclut au rejet de la demande de récusation en se référant à sa précédente détermination émise dans le cadre de deux autres demandes de récusation émanant du même auteur.</w:t>
      </w:r>
    </w:p>
    <w:p>
      <w:r>
        <w:rPr>
          <w:b/>
        </w:rPr>
        <w:t>E. 3</w:t>
      </w:r>
    </w:p>
    <w:p>
      <w:r>
        <w:t>a) L'art. 56 du Code de procédure pénale suisse (CPP; RS 312.0) énumère six situations dans lesquelles toute personne exerçant une fonction au sein d'une autorité pénale est tenue de se récuser. En l'espèce le demandeur ne mentionne aucune de ces situations. Selon le texte de sa demande, il semble invoquer comme motif que l'impartialité du Procureur général est mise en cause. Le demandeur paraît ainsi se fonder sur l'art. 56 let. f CPP qui prévoit la récusation "lorsque d'autres motifs, notamment un rapport d'amitié étroit ou d'inimitié avec une partie ou son conseil, sont de nature à le rendre suspect de prévention" et qui, selon la jurisprudence, a la portée d'une clause générale recouvrant tous les motifs de récusation non expressément prévus aux lettres précédentes (arrêt TF 1B_397/2014 du 25 février 2015 consid. 2.1). b) Lorsqu’un motif de récusation au sens de l’art. 56 let. f CPP est invoqué, le litige est tranché sans administration supplémentaire de preuves et définitivement, lorsque le Ministère public, les autorités pénales compétentes en matière de contraventions et les tribunaux de première instance sont concernés, par l’autorité de recours (art. 59 al. 1 let. b CPP), soit dans le canton de Fribourg par la Chambre pénale du Tribunal cantonal (art. 64 let. c de la loi du 31 mai 2010 sur la justice [LJ; RSF 130.1]). c) Aux termes de l’art. 58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doivent être rendus plausibles (al. 1). La personne concernée prend position sur la demande (al. 2; cf. ATF 138 IV 222). En l’espèce, le respect du délai est manifeste. d) Selon la jurisprudence, l'art. 56 let. f CPP correspond à la garantie d'un tribunal indépendant et impartial instituée par les art. 30 Cst. et 6 CEDH. Elle n'impose pas la récusation uniquement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w:t>
      </w:r>
    </w:p>
    <w:p>
      <w:r>
        <w:t>Tribunal cantonal TC Page 3 de 4 constatées objectivement doivent être prises en considération. Les impressions purement individuelles d'une des parties au procès ne sont pas décisives (ATF 143 IV 69 consid.3.2 et les réf. citées). Au cours de l'instruction, le ministère public n'a pas encore la qualité de partie au sens de l'art. 104 al. 1 let. c CPP. En tant que direction de la procédure (art. 61 CPP), son attitude et/ou ses déclarations ne doivent donc pas laisser à penser que son appréciation quant à la culpabilité du prévenu serait définitivement arrêtée (art. 6 et 10 CPP). Il est ainsi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(TF arrêt 1B_385/2016 du 10 janvier 2017 consid. 3.2 et les réf. citées). e) En l’espèce, le demandeur ne procède pas par une véritable argumentation mais se contente d'affirmer que la relation entre le Procureur général et celle qui est actuellement Vice- Chancelière et qui était auparavant greffière en chef au Ministère public constitue un motif de récusation. Or il tombe sous le sens que le fait d'une telle relation n'est nullement de nature à faire douter de l'impartialité du premier nommé pour décider de l'ouverture d'une instruction à la suite de la plainte/dénonciation du 20 décembre 2017, respectivement et cas échéant pour conduire l'enquête y relative. Concrètement, le demandeur n'étaye aucunement son affirmation selon laquelle ce qu'il appelle "l'affaire A.________" aurait été discutée en séance du Conseil d'Etat, qui plus est en présence de la Vice-Chancelière. Au demeurant, il aurait encore fallu que la discussion en question soit de nature à remettre en question l'aptitude à instruire sur les faits reprochés à un Préfet. Là encore rien n'est apparent et le demandeur s'abstient de fournir un quelconque indice concret. Au demeurant, il est manifeste que des directives relatives à une éventuelle distribution de tracts à l'occasion des réceptions précitées ne relevaient pas de la compétence du Conseil d'Etat lui-même et ne pouvaient même pas constituer une affaire importante au sens de l'art. 10 al. 3 de la loi sur l'organisation du Conseil d'Etat dont le Directeur de la sécurité et de la justice aurait dû informer ledit Conseil (RS 122.0.1). Enfin, le fait que la relation précitée aurait débuté lorsque l'actuelle Vice-Chancelière était encore en fonction au Ministère public, respectivement le fait que de l'avis du demandeur aurait déjà dû se récuser dans des affaires antérieures, relève du passé et conséquemment demeure sans effet avec une éventuelle future instruction pénale. La demande de récusation n'est donc pas fondée et doit être rejetée.</w:t>
      </w:r>
    </w:p>
    <w:p>
      <w:r>
        <w:rPr>
          <w:b/>
        </w:rPr>
        <w:t>E. 4</w:t>
      </w:r>
    </w:p>
    <w:p>
      <w:r>
        <w:t>Vu le sort de la demande, les frais de procédure y relatifs (cf. art. 424 CPP, 33 ss et 43 RJ) doivent être mis à la charge du demandeur en application de l'art. 59 al. 4 2e phr. CPP.</w:t>
      </w:r>
    </w:p>
    <w:p>
      <w:r>
        <w:t>Tribunal cantonal TC Page 4 de 4 la Chambre arrête: I. La demande de récusation est rejetée. II. Les frais de procédure, fixés à CHF 450.- (émolument: CHF 400.-; débours: CHF 50.-), sont mis à la charge de A.________.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11 janvier 2018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