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315 vom 31. Januar 2018</w:t>
      </w:r>
    </w:p>
    <w:p>
      <w:r>
        <w:t>FR Kantonsgericht, 2018-01-31, FR</w:t>
      </w:r>
    </w:p>
    <w:p>
      <w:r>
        <w:rPr>
          <w:b/>
        </w:rPr>
        <w:t xml:space="preserve">Quelle: </w:t>
      </w:r>
      <w:r>
        <w:t>https://mcp.opencaselaw.ch/entscheid/fr_gerichte_502_2017_315</w:t>
      </w:r>
    </w:p>
    <w:p>
      <w:r>
        <w:t>FR: FR_GERICHTE 502 2017 315 du 31 janvier 2018</w:t>
      </w:r>
    </w:p>
    <w:p>
      <w:r>
        <w:t>IT: FR_GERICHTE 502 2017 315 del 31 gennaio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 été notifiée au recourant, sous pli simple, le 1er décembre 2017 au plus tôt, si bien que le recours, remis à la poste le 11 décembre 2017, a été adressé à l’autorité en temps utile.</w:t>
      </w:r>
    </w:p>
    <w:p>
      <w:r>
        <w:rPr>
          <w:b/>
        </w:rPr>
        <w:t>E. 1.3</w:t>
      </w:r>
    </w:p>
    <w:p>
      <w:r>
        <w:t>Toute partie qui a un intérêt juridiquement protégé à l'annulation ou à la modification d'une décision a qualité pour recourir contre celle-ci (art. 382 al. 1 CPP).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(arrêt TF 6B_799/2015 du 4 avril 2016 consid. 2.1; ATF 140 IV 155/JdT 2015 IV 107 consid. 3.2). En tant que le recourant s’est vu atteint dans son intégrité corporelle (art. 105 al. 1 let. a CPP) et a déclaré dans son mémoire de recours vouloir se constituer partie plaignante sur le plan pénal, il est directement touché par la décision querellée et a la qualité pour recourir (art. 104 al. 1 let. b et 382 al. 1 CPP).</w:t>
      </w:r>
    </w:p>
    <w:p>
      <w:r>
        <w:rPr>
          <w:b/>
        </w:rPr>
        <w:t>E. 1.4</w:t>
      </w:r>
    </w:p>
    <w:p>
      <w:r>
        <w:t>Le recours, motivé et doté de conclusions, est dès lors formellement recevable (art. 396 al. 1 et 385 al. 1 let. b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sans débats (art. 397 al. 1 CPP).</w:t>
      </w:r>
    </w:p>
    <w:p>
      <w:r>
        <w:rPr>
          <w:b/>
        </w:rPr>
        <w:t>E. 2.1</w:t>
      </w:r>
    </w:p>
    <w:p>
      <w:r>
        <w:t>Dans son recours (p. 8 ss), le recourant reproche au Ministère public d’avoir retenu que « l’accident du 1er juin 2017 ne trouve pas son origine dans le comportement d’un tiers, qui aurait violé une prescription de sécurité, mais dans la décision de A.________ de renoncer à s’assurer ». Il soutient qu’en trois ans d’activité auprès de B.________ AG, ses supérieurs ne lui ont jamais dispensé de formation spécifique sur l’utilisation des EPI, raison pour laquelle il ne maîtrisait pas, le 1er juin 2017, les techniques permettant de sécuriser les activités professionnelles par encordement. Il est d'avis que l’interrogatoire de H.________ et d’autres de ses collègues aurait permis de prouver que le chef d’atelier ne disposait ni d’expérience ni de savoir-faire spécifique relatif à la maîtrise des risques lors de travaux avec protection par encordement et qu’il n’avait</w:t>
      </w:r>
    </w:p>
    <w:p>
      <w:r>
        <w:t>Tribunal cantonal TC Page 4 de 7 jamais prodigué la moindre formation à ses subordonnés, mesure d’instruction à laquelle n’a pas procédé le Ministère public. Compte tenu des prescriptions des art. 5, 6 al. 1, 18 et 19 de l’ordonnance fédérale du 19 décembre 1983 sur la prévention des accidents et maladies professionnelles (RS 832.30; OPA), l’employeur du recourant aurait violé l’art. 229 CP. Le recourant conclut à l’annulation de l’ordonnance attaquée et requiert du Ministère public de procéder à un complément d’instruction, sous la forme notamment de l’audition de la totalité des employés de la société B.________ AG et de la mise en œuvre d’une expertise sur le respect des règles de sécurité qui s’imposaient au vu de la configuration des lieux.</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2017 239 du 13 octobre 2017 de la Chambre pénale consid. 2.1).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Une non-entrée en matière s’impose lorsque le litige est de nature purement civile (ATF 137 IV 285 consid. 2.3).</w:t>
      </w:r>
    </w:p>
    <w:p>
      <w:r>
        <w:rPr>
          <w:b/>
        </w:rPr>
        <w:t>E. 2.3</w:t>
      </w:r>
    </w:p>
    <w:p>
      <w:r>
        <w:t>Selon l’art. 229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 La peine sera une peine privative de liberté de trois</w:t>
      </w:r>
    </w:p>
    <w:p>
      <w:r>
        <w:t>Tribunal cantonal TC Page 5 de 7 ans au plus ou une peine pécuniaire si l’inobservation des règles de l’art est due à une négligence" (al. 2). Celui qui dirige ou exécute une construction se porte garant du respect des règles de l’art de construire dans sa sphère de responsabilités. La responsabilité pénale d’un participant à la construction se détermine sur la base des prescriptions légales, des accords contractuels ou des fonctions exercées, comme sur toutes circonstances concrètes (TF, arrêt 6B_1016/2009 du 11 février 2010 consid. 5.2.1). En principe, la règle doit être respectée par celui qui accomplit l’activité qu’elle régit; il existe cependant aussi, pour ceux qui dirigent les travaux, le devoir de donner les instructions nécessaires et de surveiller l’exécution. Celui qui engage des employés sur un chantier est dans une position de garant, de sorte qu’une omission peut lui être reprochée. L’omission peut consister à ne pas surveiller, à ne pas contrôler le travail ou à tolérer une exécution dangereuse (CORBOZ, Les infractions en droit suisse, 3ème éd., 2010, art. 229 n. 17 et 18). La direction vise l’activité consistant à concevoir l’ouvrage, à déterminer les matériaux, les dimensions et les formes, à planifier et à organiser le travail, à choisir les exécutants, à leur donner les instructions et les recommandations nécessaires et à en surveiller l’exécution (arrêt 6B_145/2015 du 29 janvier 2016 consid. 2.1.1 &amp; 2 et les références citées). Par exécution, il faut entendre l’activité de celui qui accomplit directement le travail (CORBOZ, art. 229 n. 3 et 4). Il appartient à la direction des travaux de coordonner et de surveiller l’ensemble des travaux de construction. Elle doit prendre les mesures de sécurité commandées par les circonstances et veiller au respect des règles de l’art de construire (arrêt TF 6B_1016/2009 du 11 février 2010 consid. 5.2.2). Sur le plan subjectif, l’infraction par négligence est réalisée si l’accusé n’a pas eu conscience du danger pour la vie ou l’intégrité corporelle des personnes, mais qu’il aurait pu et dû en avoir conscience. La jurisprudence est ici sévère: il importe peu que l’auteur n’ait pas saisi le risque concret dès lors qu’il a par négligence violé une règle protectrice destinée à éviter des accidents peu prévisibles. Par ailleurs, il a été jugé que celui qui utilise une méthode de construction inhabituelle doit acquérir les connaissances nécessaires ou se renseigner auprès d’un expert (CORBOZ, art. 229 n. 32 et 33).</w:t>
      </w:r>
    </w:p>
    <w:p>
      <w:r>
        <w:rPr>
          <w:b/>
        </w:rPr>
        <w:t>E. 2.4</w:t>
      </w:r>
    </w:p>
    <w:p>
      <w:r>
        <w:t>In casu, il ne fait aucun doute que l’activité professionnelle du recourant est soumise aux dispositions de la loi fédérale du 20 mars 1981 sur l’assurance accident (RS 832.20; LAA) et à celles de l’OPA, lesquelles valent incontestablement règles de l’art au sens de l’art. 229 CP. Il n’est pas contesté qu’au moment de l’accident, le recourant ne portait pas d’équipement de sécurité (DO/2'004, l. 27). En revanche, rien au dossier ne permet de déterminer si les travaux de remplacement de la vanne nécessitaient un matériel sécuritaire spécifique, notamment compte tenu de la particularité des lieux, le cas échéant, si celui-ci était mis à disposition du recourant. Des interrogatoires de D.________ (DO/2'007 ss) et G.________ (DO/2'011 ss) ne résultent que des considérations d’ordre général. Rien n’étaye quelles mesures auraient dû être concrètement prises ni quel procédé aurait dû être suivi pour assurer la sécurité du recourant. Il en va de même pour le rapport de la SUVA du 9 octobre 2017 qui se contente de conclure que le matériel nécessaire était à disposition des employés. De plus, l’on ne peut savoir si le recourant disposait d’instructions de la part de ses supérieurs ou encore s’il devait avoir lui-même connaissance des mesures particulières à prendre. Il semblerait que le recourant ait pris contact avec son supérieur, H.________, après que le concierge de C.________ l’ait interpellé sur le matériel de sécurité à ses yeux inadapté. Celui-là aurait alors</w:t>
      </w:r>
    </w:p>
    <w:p>
      <w:r>
        <w:t>Tribunal cantonal TC Page 6 de 7 demandé au recourant de mener à bien sa mission, avec le matériel de sécurité dont il disposait (mémoire de recours, p. 11). Par ailleurs, le directeur avait fait état des consignes sécuritaires dispensées par son chef d’atelier, mais celui-ci n’aurait en fait pas suivi de formation à cet égard; il y avait à tout le moins lieu d’interroger ce dernier sur sa manière d’enseigner la sécurité à ses subordonnés et, plus particulièrement, sur les instructions données au recourant le jour de son accident. Vu que cette audition n’a pas eu lieu, il est prématuré de retenir qu’aucune infraction n’a pu avoir été commise. Force est de constater que des incertitudes subsistent quant à la réalisation d’une infraction, de sorte qu’elle ne peut être exclue. Celles-ci devraient pouvoir être élucidées, notamment par le biais d’auditions complémentaires, cas échéant de confrontations, voire par la production de pièces ou encore par la mise en place d’une expertise. La non-entrée en matière n’était dès lors pas justifiée sur la seule base des éléments du dossier en mains du Ministère public. Le recours doit donc être admis, l’ordonnance querellée annulée et la cause renvoyée au Ministère public pour nouvel examen.</w:t>
      </w:r>
    </w:p>
    <w:p>
      <w:r>
        <w:rPr>
          <w:b/>
        </w:rPr>
        <w:t>E. 3.1</w:t>
      </w:r>
    </w:p>
    <w:p>
      <w:r>
        <w:t>Vu le sort du recours, les frais de la procédure, fixés à CHF 600.- (émolument: CHF 500.-; débours: CHF 100.-) seront mis à la charge de l’Etat (art. 428 al. 1 et 4 CPP; art. 124 LJ et 33 ss RJ).</w:t>
      </w:r>
    </w:p>
    <w:p>
      <w:r>
        <w:rPr>
          <w:b/>
        </w:rPr>
        <w:t>E. 3.2</w:t>
      </w:r>
    </w:p>
    <w:p>
      <w:r>
        <w:t>Le recourant réclame également l’octroi d’une équitable indemnité.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l'espèce. Il se justifie partant d’allouer à A.________, en évaluant le temps de travail de l'avocat à environ</w:t>
      </w:r>
    </w:p>
    <w:p>
      <w:r>
        <w:rPr>
          <w:b/>
        </w:rPr>
        <w:t>E. 6</w:t>
      </w:r>
    </w:p>
    <w:p>
      <w:r>
        <w:t>heures, une indemnité de CHF 1'500.-, débours compris mais TVA, calculée au taux applicable au moment du recours, en sus. (dispositif en page suivante)</w:t>
      </w:r>
    </w:p>
    <w:p>
      <w:r>
        <w:t>Tribunal cantonal TC Page 7 de 7 la Chambre arrête: I. Le recours est admis. Partant, l’ordonnance de non-entrée en matière du 30 novembre 2017 concernant le dossier iii est annulée et la cause est renvoyée au Ministère public. II. Les frais de procédure sont fixés à CHF 600.- (émolument: CHF 500.-; débours: CHF 100.-) et sont mis à la charge de l'Etat de Fribourg. III. Une indemnité de CHF 1'620.-, TVA comprise, est allouée à A.________ à charge de l’Etat de Fribourg.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janvier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