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259 vom 7. März 2018</w:t>
      </w:r>
    </w:p>
    <w:p>
      <w:r>
        <w:t>FR Kantonsgericht, 2018-03-07, FR</w:t>
      </w:r>
    </w:p>
    <w:p>
      <w:r>
        <w:rPr>
          <w:b/>
        </w:rPr>
        <w:t xml:space="preserve">Quelle: </w:t>
      </w:r>
      <w:r>
        <w:t>https://mcp.opencaselaw.ch/entscheid/fr_gerichte_502_2017_259</w:t>
      </w:r>
    </w:p>
    <w:p>
      <w:r>
        <w:t>FR: FR_GERICHTE 502 2017 259 du 7 mars 2018</w:t>
      </w:r>
    </w:p>
    <w:p>
      <w:r>
        <w:t>IT: FR_GERICHTE 502 2017 259 del 7 marzo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rPr>
          <w:b/>
        </w:rPr>
        <w:t>E. 1.2</w:t>
      </w:r>
    </w:p>
    <w:p>
      <w:r>
        <w:t>Selon les art. 322 al. 2 et 396 al. 1 CPP, le recours est adressé par écrit, dans le délai de dix jours, à l’autorité de recours. L’ordonnance du 28 septembre 2017 a été notifiée le 30 septembre 2017 au recourant. Le délai légal arrivant à échéance le 10 octobre suivant, le recours déposé ce même jour l’a été en temps utile.</w:t>
      </w:r>
    </w:p>
    <w:p>
      <w:r>
        <w:t>Tribunal cantonal TC Page 3 de 6</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La Chambre dispose d’une pleine cognition en fait et en droit (art. 393 al. 2 CPP) et statue sans débats (art. 397 al. 1 CPP).</w:t>
      </w:r>
    </w:p>
    <w:p>
      <w:r>
        <w:rPr>
          <w:b/>
        </w:rPr>
        <w:t>E. 1.5</w:t>
      </w:r>
    </w:p>
    <w:p>
      <w:r>
        <w:t>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(cf. BSK StPO-ZIEGLER/KELLER, 2ème éd. 2014, art. 385 n. 1 ss). Le recourant doit en tout état de cause exposer concrètement et spécifiquement en quoi la décision qu’il attaque contrevient aux motifs dont il se prévaut (cf.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(cf.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(cf. BSK StPO-ZIEGLER/KELLER, art. 385 n. 3) et que le défaut de motivation peut être facilement corrigé suite à l’indication donnée par l’autorité (cf. DONATSCH/ HANSJAKOB/LIEBER, Kommentar zur Schweizerischen Strafprozessordnung (StPO), 2ème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(cf. BSK StPO-ZIEGLER/KELLER, art. 385 n. 4). En l'espèce, la police a procédé à l'interrogatoire de l'intimé mais n'a pas auditionné la nouvelle locataire de l'appartement en raison d'un éventuel manque d'impartialité. La police n'a pas non plus entendu le recourant sur l'événement qu'il dénonce, celui-ci étant suffisamment étayé dans la plainte pénale. Le faible degré de complexité des faits ne justifie au demeurant pas d'autres mesures d'instruction. Ainsi, le Ministère public a mené un examen attentif des griefs soulevés par le recourant et de l'intégralité des éléments pertinents et utiles à la résolution du litige. Il a ainsi retenu que ne sont remplis les éléments constitutifs d'aucune infraction, l'intimé ayant apporté la preuve de sa bonne foi au sens de l'art. 173 ch. 2 CP, disposition qui s'applique par analogie à l'art. 177 al. 1 CP. Or dans son courrier daté du 10 octobre 2017 et valant acte de recours, le recourant se contente de répondre aux arguments avancés par l'intimé lors de son interrogatoire. Il s'épanche en outre sur les pratiques en matière de bail mais ne tente nullement de démontrer que</w:t>
      </w:r>
    </w:p>
    <w:p>
      <w:r>
        <w:t>Tribunal cantonal TC Page 4 de 6 la subsomption légale entreprise par le Ministère public serait erronée ni que des modifications devraient être apportées à la décision querellée. Il ne démontre ainsi pas que, contrairement à ce qu’a retenu le Ministère public, l'exception de bonne foi devrait être écartée. Dès lors, en l'absence même d'un début de critique spécifique aux motifs retenus dans l'ordonnance attaquée et propre à démontrer que tel ou tel comportement serait pénalement punissable, le recours n'est pas recevable faute de motivation idoine.</w:t>
      </w:r>
    </w:p>
    <w:p>
      <w:r>
        <w:rPr>
          <w:b/>
        </w:rPr>
        <w:t>E. 2</w:t>
      </w:r>
    </w:p>
    <w:p>
      <w:r>
        <w:t>Serait-il recevable qu'il devrait au demeurant être rejeté, pour les raisons exposées ci-après.</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6B_246/2017 du 28 décembre 2017 consid. 5.1, et les réf. citées). L'absence de précédents dans l'application du droit pénal matériel peut également constituer un motif de mise en accusation (ATF 138 IV 186 consid. 4; 138 IV 86 consid. 4.1-2).</w:t>
      </w:r>
    </w:p>
    <w:p>
      <w:r>
        <w:rPr>
          <w:b/>
        </w:rPr>
        <w:t>E. 2.2</w:t>
      </w:r>
    </w:p>
    <w:p>
      <w:r>
        <w:t>Conformément à l'art. 177 CP, se rend coupable d'injure celui qui aura, par la parole, l'écriture, l'image, le geste ou par des voies de fait, attaqué autrui dans son honneur (art. 177 al. 1 CP). L'honneur que protège cette disposition est le sentiment et la réputation d'être une personne honnête et respectable, c'est-à-dire le droit de ne pas être méprisé en tant qu'être humain (ATF 132 IV 112 consid. 2.1; 128 IV 53 consid. 1a).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2010, art. 177 CP n. 10),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TF 6B_557/2013 du 12 septembre 2013, consid. 1). Sur le plan subjectif, l'injure suppose l'intention. L'auteur doit vouloir ou accepter que son message soit attentatoire à l'honneur et qu'il soit communiqué à la victime (ATF 117 IV 270 consid. 2b p. 272).</w:t>
      </w:r>
    </w:p>
    <w:p>
      <w:r>
        <w:t>Tribunal cantonal TC Page 5 de 6 S'agissant des preuves libératoires, l'art. 173 ch. 2 et 3 CP est applicable par analogie à l'art. 177 CP (PC-CP DUPUIS ET AL., 2e éd., 2017, art. 177 CP n. 22). Aux termes de l’article 173 ch. 2 CP, l’inculpé n’encourra aucune peine s’il prouve que les allégations qu’il a articulées ou propagées sont conformes à la vérité (preuve de la vérité) ou qu’il avait des raisons sérieuses de les tenir de bonne foi pour vraies (preuve de la bonne foi). Apporte la preuve de la vérité celui qui établit que ce qu’il a allégué, soupçonné ou propagé est vrai. Tous les éléments de preuve, même ceux qui lui étaient inconnus au moment où il s’est exprimé, peuvent être apportés, car la seule question pertinente est celle de la véracité du propos (ATF 122 IV 311 consid. 2c et 2e; ATF 106 IV 115 consid. 2a). Lorsque l’allégation formulée contient des références au comportement malhonnête de la victime et des exemples d’actes qui, d’après l’auteur, montrent le caractère incorrect des agissements de celle-ci, il y a besoin de prouver la véracité de tous les aspects essentiels de l’allégation (HURTADO POZO, Droit pénal, Partie spéciale, 2009, n. 2064). La preuve de la bonne foi suppose que le prévenu établisse qu’il avait des raisons sérieuses de tenir de bonne foi ses allégations pour vraies ou ses soupçons pour fondés (art. 173 ch. 2 CP; ATF 102 IV 176 consid. 2c). Le prévenu est de bonne foi s’il a cru à la véracité de ce qu’il disait (CORBOZ, art. 173 CP n. 177).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 consid. 3; 105 IV 114 consid. 2a).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consid. 4a; 102 IV 176 consid. 1c). Il faut donc que le prévenu établisse les éléments dont il disposait à l’époque, ce qui relève du fait; sur cette base, le juge doit apprécier si ces éléments étaient suffisants pour croire à la véracité du propos, ce qui relève du droit (CORBOZ, art. 173 CP n. 76). Par ailleurs,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w:t>
      </w:r>
    </w:p>
    <w:p>
      <w:r>
        <w:rPr>
          <w:b/>
        </w:rPr>
        <w:t>E. 2.3</w:t>
      </w:r>
    </w:p>
    <w:p>
      <w:r>
        <w:t>En l'occurrence, même si l'instruction de la cause fut brève et n'a pas permis d'établir que les événements tels que rapportés par l'intimé se soient ainsi produits, il y a lieu de relever que ce dernier peut, à tout le moins, se prévaloir de sa bonne foi. Etant présent au moment de la prise et de la remise du bail de ses amis, l'intimé a perçu le comportement du recourant d'une certaine manière et l'a interprété selon son ressenti, d'autant que, comme le plaignant l'a lui-même indiqué dans sa plainte, il avait lui aussi signé le bail en se portant garant, de sorte que la sauvegarde de ses intérêts était en jeu. Le fait que l'état des lieux n'ait pas été signé par les locataires, élément que n'a au demeurant pas contesté le recourant, a pu conforter l'intimé dans son avis que celui-là est quelqu'un de mauvaise foi et que son comportement relèverait de l'escroquerie. Les pièces versées au dossier permettent ainsi d'affirmer que l'intimé avait des raisons sérieuses de tenir de bonne foi ses allégations pour vraies et surtout, si le recours contient des contestations quant aux moisissures et quant aux appareils de la buanderie, il n'en contient aucune sur le fait que le bailleur n'a rien fait, respectivement rien voulu faire sur d'autres défauts signalés, tels la pose de silicone dans la salle de bains, un débouchage de la baignoire, un robinet qui gouttait, une panne de machine à laver la vaisselle, le fonctionnement déficient de plusieurs plaques électriques, des</w:t>
      </w:r>
    </w:p>
    <w:p>
      <w:r>
        <w:t>Tribunal cantonal TC Page 6 de 6 poignées d'armoires et des champs de portes à réparer, ainsi que la remise tardive du garage et de la cave (cf. PV d'audition du 05.5.2017 lignes 53 ss). Le sentiment qu'il avait selon lequel le bailleur profitait de l'ignorance de locataires étrangers qui n'étaient au courant ni de la langue ni des règles en vigueur ici avait ainsi un fondement qui simultanément établissait sa bonne foi. Il en découle que la probabilité d'un acquittement apparaît bien plus grande que celle d'une condamnation. La motivation de l’ordonnance querellée est donc correcte et la Chambre la fait sienne. L'existence de faits justificatifs empêchant de retenir une infraction contre l'intimé, c'est à juste titre que le Ministère public a classé la présente procédure.</w:t>
      </w:r>
    </w:p>
    <w:p>
      <w:r>
        <w:rPr>
          <w:b/>
        </w:rPr>
        <w:t>E. 3</w:t>
      </w:r>
    </w:p>
    <w:p>
      <w:r>
        <w:t>Vu l’issue du recours, les frais de la procédure de recours (art. 124 LJ et 33 ss RJ) seront mis à la charge du recourant (art. 428 al. 1 CPP). la Chambre arrête: I. Le recours est irrecevable. II. Les frais de la procédure de recours sont arrêtés à CHF 600.- (émolument: CHF 550.-; débours: CHF 50.-) et sont mis à la charge de A.________. Ils seront acquittés par prélèvement sur les sûretés prestées.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mars 2018/dke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