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239 vom 13. Oktober 2017</w:t>
      </w:r>
    </w:p>
    <w:p>
      <w:r>
        <w:t>FR Kantonsgericht, 2017-10-13, FR</w:t>
      </w:r>
    </w:p>
    <w:p>
      <w:r>
        <w:rPr>
          <w:b/>
        </w:rPr>
        <w:t xml:space="preserve">Quelle: </w:t>
      </w:r>
      <w:r>
        <w:t>https://mcp.opencaselaw.ch/entscheid/fr_gerichte_502_2017_239</w:t>
      </w:r>
    </w:p>
    <w:p>
      <w:r>
        <w:t>FR: FR_GERICHTE 502 2017 239 du 13 octobre 2017</w:t>
      </w:r>
    </w:p>
    <w:p>
      <w:r>
        <w:t>IT: FR_GERICHTE 502 2017 239 del 13 ottobre 2017</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ainsi que de l’art. 85 al. 1 de la loi du 31 mai 2010 sur la justice (LJ),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au recourant le 28 août 2017, si bien que le recours, posté le 6 septembre 2017, a été adressé à l’autorité en temps utile.</w:t>
      </w:r>
    </w:p>
    <w:p>
      <w:r>
        <w:rPr>
          <w:b/>
        </w:rPr>
        <w:t>E. 1.3</w:t>
      </w:r>
    </w:p>
    <w:p>
      <w:r>
        <w:t>L’ordonnance querellée prononce la non-entrée en matière sur les faits objets de la plainte pénale. Le recourant, partie plaignante et créancier de C.________, est directement touché par cette décision et a la qualité pour recourir (art. 104 al. 1 let. b et 382 al. 1 CPP).</w:t>
      </w:r>
    </w:p>
    <w:p>
      <w:r>
        <w:rPr>
          <w:b/>
        </w:rPr>
        <w:t>E. 1.4</w:t>
      </w:r>
    </w:p>
    <w:p>
      <w:r>
        <w:t>Le recours, motivé et doté de conclusions, est dès lors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sans débats (art. 397 al. 1 CPP).</w:t>
      </w:r>
    </w:p>
    <w:p>
      <w:r>
        <w:rPr>
          <w:b/>
        </w:rPr>
        <w:t>E. 2</w:t>
      </w:r>
    </w:p>
    <w:p>
      <w:r>
        <w:t>juin 2017 contre B.________, le Ministère public pouvait à bon droit exclure que ce dernier avait élaboré un stratagème au début 2014 visant à prétériter les créanciers de C.________, en particulier A.________. Sa décision de non-entrée en matière doit être confirmée. Le recours sera dès lors rejeté.</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w:t>
      </w:r>
    </w:p>
    <w:p>
      <w:r>
        <w:t>Tribunal cantonal TC Page 4 de 6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w:t>
      </w:r>
    </w:p>
    <w:p>
      <w:r>
        <w:rPr>
          <w:b/>
        </w:rPr>
        <w:t>E. 2.2</w:t>
      </w:r>
    </w:p>
    <w:p>
      <w:r>
        <w:t>Selon l'art. 164 ch. 1 al. 3 CP, le débiteur qui, de manière à causer un dommage à ses créanciers, aura diminué son actif, en cédant des valeurs patrimoniales à titre gratuit ou contre une prestation de valeur manifestement inférieure sera, s'il a été déclaré en faillite ou si un acte de défaut de biens a été dressé contre lui, puni de la réclusion pour cinq ans au plus ou de l'emprisonnement. Le chiffre 2 dispose que le tiers qui, dans les mêmes conditions, se sera livré à ces agissements de manière à causer un dommage aux créanciers sera puni de l'emprisonnement. Le tiers n’est punissable que s’il a commis des actes qui conduisent à le considérer comme instigateur ou complice de l’infraction commise par le débiteur (CORBOZ, Les infractions en droit suisse, vol. I, 2010, art. 164 n. 13 et la référence citée). Cette disposition est inspirée des principes de l'action en révocation d'actes à titre gratuit de l'art. 286 LP (ATF 131 IV 54 consid. 1.3.3; 126 IV 5 consid. 2d). Hormis les cadeaux usuels, elle vise toutes les libéralités, y compris les aliénations moyennant une contre-valeur insuffisante, dès lors que l'intention de nuire au créancier a pu être établie (CORBOZ, art. 164 CP n. 13). L'infraction est intentionnelle; le dol éventuel suffit. L'intention ne doit pas porter sur la délivrance d'un acte de défaut de biens, puisqu'il s'agit d'une condition objective de punissabillité et non d'un élément constitutif. Outre l'intention générale, l'art. 164 CP exige une intention spéciale: l'auteur doit avoir l'intention de causer un dommage à son ou ses créanciers (CORBOZ, art. 164 CP n. 23 et 24).</w:t>
      </w:r>
    </w:p>
    <w:p>
      <w:r>
        <w:rPr>
          <w:b/>
        </w:rPr>
        <w:t>E. 2.3</w:t>
      </w:r>
    </w:p>
    <w:p>
      <w:r>
        <w:t>En l’espèce, le Ministère public a considéré que les éléments constitutifs d’une infraction ne sont manifestement pas remplis dès lors que B.________, qui n’a commencé à tenir la comptabilité de l’entreprise de C.________ qu’en 2015 et qui n’avait auparavant qu’une connaissance approximative de sa situation financière, n’a fait qu’exprimer son avis, à la demande de C.________, sur une idée de transfert que celui-ci avait déjà en tête. Le recourant conteste cette décision. Il soutient que B.________ n’a pas donné un simple avis à C.________ mais bien un conseil éclairé d’un professionnel qui connaissait la situation de son client de sorte que les conditions de l’art. 164 ch. 2 CP sont remplies.</w:t>
      </w:r>
    </w:p>
    <w:p>
      <w:r>
        <w:rPr>
          <w:b/>
        </w:rPr>
        <w:t>E. 2.4</w:t>
      </w:r>
    </w:p>
    <w:p>
      <w:r>
        <w:t>Lors de son audition du 17 mars 2017, C.________, à la question « vous avez cédé votre part de copropriété à votre épouse, D.________, est-ce exact ? », a répondu ce qui suit: « j’ai écouté les conseils de mon fiduciaire F.________ SA. Il m’a dit que lorsqu’on avait une entreprise individuelle il faut se protéger par rapport à ce qui peut arriver dans le cadre de notre profession. » A.________ met en avant ces propos pour obtenir l’annulation de l’ordonnance (recours p. 4 ch. 3) car il y voit un élément corroborant la commission d’une infraction par l’intimé.</w:t>
      </w:r>
    </w:p>
    <w:p>
      <w:r>
        <w:t>Tribunal cantonal TC Page 5 de 6 Telle n’est toutefois pas la portée des déclarations prêtées à B.________. B.________ n’a en effet que cherché à prémunir C.________ contre d’éventuelles difficultés qui pourraient survenir, et non à l’instiguer à porter préjudice à des créanciers particuliers. D’ailleurs, selon les déclarations de C.________, sa situation financière ne s’est dégradée qu’à partir de septembre 2014, soit postérieurement à l’acte de transfert de propriété. Les dettes ayant abouti à la délivrance des actes de défaut de biens ont été contractées après la cession de la part de copropriété, à l’exception de travaux de transformation du garage datant de 2013 d’un montant de l’ordre de CHF 10'000.-. Certes, les prêts octroyés par C.________ pour CHF 48'000.- au total dataient de 2008, respectivement de 2013 (PV du 17 mars 2017 p. 4 DO 3003). Mais A.________ n’avait alors jamais manifesté son souhait d’en obtenir le remboursement. Il a ainsi déclaré le 17 mars 2017 (PV p. 10 lignes 275 à 278 DO 3009): « Je n’ai jamais fait de poursuites ou autre contre mon fils avant 2016. Je ne lui ai même jamais réclamé les montants des prêts. Il y avait effectivement un solde de factures ouvertes de mon entreprise pour la construction de la maison. Je lui avais demandé quant est-ce qu’il comptait payer. Un solde de facture de CHF 7'900.00 avait été payé en juillet 2014. » Quant à la dette de CHF 12'500.- de C.________ et D.________ envers G.________ Sàrl, ils continuent de s’en acquitter aujourd’hui et elle a fait l’objet d’une facture du 19 mai 2014, soit postérieurement au conseil donné par B.________ (plainte pénale p. 7 ch. 23 DO 2003). Force est ainsi de constater que B.________ n’avait par son conseil nullement l’intention d’instiguer C.________ à causer un dommage à ses créanciers, en particulier à A.________. Pour ce faire, il aurait du reste dû supputer que le recourant serait prêt à faire réaliser la maison familiale de son fils pour obtenir le remboursement de prêts non encore dénoncés, et qui ne feront l’objet de procédures d’encaissement qu’en début 2016, ce qui n’a pas de sens. Si conseil il y a bien eu à ce moment-là, il portait uniquement sur l’opportunité de faire en sorte que, lorsqu’on exerce une activité commerciale, son patrimoine privé soit à l’abri des créanciers commerciaux. Des mesures de ce sens sont usuelles et il semblerait du reste que la notaire qui a instrumenté l’acte de transfert ait donné des conseils similaires (PV du 17 mars 2017 p. 7 lignes 186-187 et p. 8 lignes 223-224).</w:t>
      </w:r>
    </w:p>
    <w:p>
      <w:r>
        <w:rPr>
          <w:b/>
        </w:rPr>
        <w:t>E. 2.5</w:t>
      </w:r>
    </w:p>
    <w:p>
      <w:r>
        <w:t>Sur la base des mesures d’instruction déjà effectuées lorsqu’il a reçu la plainte pénale du</w:t>
      </w:r>
    </w:p>
    <w:p>
      <w:r>
        <w:rPr>
          <w:b/>
        </w:rPr>
        <w:t>E. 3.1</w:t>
      </w:r>
    </w:p>
    <w:p>
      <w:r>
        <w:t>Vu le rejet du recours, les frais de la procédure de recours, arrêtés à CHF 600.- (émolument: CHF 500.-; débours: CHF 100.-), sont mis à la charge du recourant (art. 428 al. 1 CPP). Ils seront prélevés sur l’avance de frais du même montant effectuée par le recourant le 19 septembre 2017.</w:t>
      </w:r>
    </w:p>
    <w:p>
      <w:r>
        <w:rPr>
          <w:b/>
        </w:rPr>
        <w:t>E. 3.2</w:t>
      </w:r>
    </w:p>
    <w:p>
      <w:r>
        <w:t>Aucune indemnité de partie n’est accordée à la partie qui succombe.</w:t>
      </w:r>
    </w:p>
    <w:p>
      <w:r>
        <w:t>Tribunal cantonal TC Page 6 de 6 la Chambre arrête: I. Le recours est rejeté. Partant, l’ordonnance de non-entrée en matière du Ministère public du 25 août 2017 est confirmée. II. Les frais de la procédure de recours, arrêtés à CHF 600.- (émolument: CHF 500.-; débours: CHF 100.-), sont mis à la charge de A.________. Ils seront prélevés sur l’avance de frais du même montant effectuée par le recourant. III. Aucune indemnité de partie n’est accordée.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