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238 vom 13. Oktober 2017</w:t>
      </w:r>
    </w:p>
    <w:p>
      <w:r>
        <w:t>FR Kantonsgericht, 2017-10-13, DE</w:t>
      </w:r>
    </w:p>
    <w:p>
      <w:r>
        <w:rPr>
          <w:b/>
        </w:rPr>
        <w:t xml:space="preserve">Quelle: </w:t>
      </w:r>
      <w:r>
        <w:t>https://mcp.opencaselaw.ch/entscheid/fr_gerichte_502_2017_238</w:t>
      </w:r>
    </w:p>
    <w:p>
      <w:r>
        <w:t>FR: FR_GERICHTE 502 2017 238 du 13 octobre 2017</w:t>
      </w:r>
    </w:p>
    <w:p>
      <w:r>
        <w:t>IT: FR_GERICHTE 502 2017 238 del 13 ottobre 2017</w:t>
      </w:r>
    </w:p>
    <w:p>
      <w:pPr>
        <w:pStyle w:val="Heading2"/>
      </w:pPr>
      <w:r>
        <w:t>Regeste</w:t>
      </w:r>
    </w:p>
    <w:p>
      <w:r>
        <w:t>Arrêt de la Chambre pénale du Tribunal cantonal | Einstellung des Verfahrens (Art. 319 ff. StPO)</w:t>
      </w:r>
    </w:p>
    <w:p>
      <w:pPr>
        <w:pStyle w:val="Heading2"/>
      </w:pPr>
      <w:r>
        <w:t>Erwägungen</w:t>
      </w:r>
    </w:p>
    <w:p>
      <w:r>
        <w:rPr>
          <w:b/>
        </w:rPr>
        <w:t>E. 1</w:t>
      </w:r>
    </w:p>
    <w:p>
      <w:r>
        <w:t>let. b CPP) qui est, dans le canton de Fribourg, la Chambre pénale du Tribunal cantonal (art. 85 al. 1 LJ [loi du 31 mai 2010 sur la justice; RSF 130.1]). En l'espèce, le recours a été interjeté en temps utile devant l’autorité compétente par la partie plaignante qui, en tant que créancier de C.________, a qualité pour recourir (art. 382 al. 1 CPP). Il satisfait en outre aux conditions de forme prescrites (art. 385 al. 1 CPP). Partant, le recours est recevable.</w:t>
      </w:r>
    </w:p>
    <w:p>
      <w:r>
        <w:rPr>
          <w:b/>
        </w:rPr>
        <w:t>E. 1.1</w:t>
      </w:r>
    </w:p>
    <w:p>
      <w:r>
        <w:t>Les parties peuvent attaquer une ordonnance de classement rendue par le ministère public en application des art. 319 ss CPP (Code de procédure pénale suisse du 5 octobre 2007; Tribunal cantonal TC Page 3 de 6 RS 312.0) dans les dix jours devant l’autorité de recours (art. 322 al. 2 et 396 al. 1 CPP; art. 20 al.</w:t>
      </w:r>
    </w:p>
    <w:p>
      <w:r>
        <w:rPr>
          <w:b/>
        </w:rPr>
        <w:t>E. 1.2</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1.3</w:t>
      </w:r>
    </w:p>
    <w:p>
      <w:r>
        <w:t>La Chambre pénale statue sans débats (art. 397 al. 1 CPP).</w:t>
      </w:r>
    </w:p>
    <w:p>
      <w:r>
        <w:rPr>
          <w:b/>
        </w:rPr>
        <w:t>E. 2.1</w:t>
      </w:r>
    </w:p>
    <w:p>
      <w:r>
        <w:t>Le Ministère public a considéré que la décision de transfert de propriété pour mettre la maison et les meubles du couple à l’abri des créanciers a été prise par C.________, qui l’a expliquée à son épouse, laquelle, même si elle a adhéré au projet en pleine conscience, n’a fait qu’accepter la cession et n’a pas contribué à la prise de décision. Dans la mesure où son comportement était uniquement passif, il se situe dans les limites de la participation nécessaire et n’est pas constitutif de l’infraction de diminution effective de l’actif au préjudice des créanciers au sens de l’art. 164 al. 2 CP.</w:t>
      </w:r>
    </w:p>
    <w:p>
      <w:r>
        <w:rPr>
          <w:b/>
        </w:rPr>
        <w:t>E. 2.2</w:t>
      </w:r>
    </w:p>
    <w:p>
      <w:r>
        <w:t>Le recourant n’est pas de cet avis et considère qu’en entreprenant toutes les démarches nécessaires pour recevoir la part de la maison, soit en se rendant chez un notaire et en signant le document permettant le transfert des parts de copropriété, la prévenue a non seulement accepté les agissements de son époux, mais y a aussi participé. En participant activement aux démarches, B.________ a excédé les limites de la participation nécessaire de sorte que les conditions de l’art. 164 ch. 2 CP sont remplies.</w:t>
      </w:r>
    </w:p>
    <w:p>
      <w:r>
        <w:rPr>
          <w:b/>
        </w:rPr>
        <w:t>E. 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Tribunal cantonal TC Page 4 de 6 vraisemblable qu'un acquittement (ATF 137 IV 219 consid. 7; ATF 138 IV 86 consid. 4.1.1; ATF 138 IV 186 consid. 4.1; TF 1B_272/2011 du 22 mars 2012 consid. 3.1.1). Aux termes de l'art. 2 al. 1 CPP, la justice pénale est administrée uniquement par les autorités désignées par la loi. La compétence pour décider d'un classement total ou partiel appartient au ministère public (art. 319 al. 1 CPP).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(art. 352 al. 1 CPP), le ministère public est en principe tenu de mettre le prévenu en accusation, en application de l'art. 324 CPP, ce d'autant plus lorsque les infractions sont graves (ATF 137 IV 285 s'agissant d'une ordonnance de non- entrée en matière). L'absence de précédents dans l'application du droit pénal matériel peut également constituer un motif de mise en accusation (ATF 138 IV 86 consid. 4.1-2; ATF 138 IV 186 consid. 4.).</w:t>
      </w:r>
    </w:p>
    <w:p>
      <w:r>
        <w:rPr>
          <w:b/>
        </w:rPr>
        <w:t>E. 2.4</w:t>
      </w:r>
    </w:p>
    <w:p>
      <w:r>
        <w:t>Selon l'art. 164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de la réclusion pour cinq ans au plus ou de l'emprisonnement (ch. 1). Le chiffre 2 dispose que le tiers qui, dans les mêmes conditions, se sera livré à ces agissements de manière à causer un dommage aux créanciers sera puni de l'emprisonnement. D'après l'art. 164 ch. 2 CP, le tiers ne sera punissable que s'il s'est livré à "ces agissements", à savoir s'il a accompli un des comportements énumérés de manière exhaustive au chiffre 1. Le troisième alinéa du chiffre 1 - qui seul entre en considération en l'espèce - ne parle que de "cession" et non d'"acquisition", et ne saurait fonder la condamnation d'un tiers qui se borne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qui vont au-delà de la seule acceptation de la prestation (arrêt TF 6S.142/2003 du 4 juillet 2003 consid. 2.1; ATF 126 IV 5 / JdT 2001 IV 110 consid. 2d et les références citées). Le tiers n’est punissable que s’il a commis des actes qui conduisent à le considérer comme instigateur ou complice de l’infraction commise par le débiteur (CORBOZ, Les infractions en droit suisse, vol. I, 2010, art. 164 n. 13 et la référence citée).</w:t>
      </w:r>
    </w:p>
    <w:p>
      <w:r>
        <w:rPr>
          <w:b/>
        </w:rPr>
        <w:t>E. 2.5</w:t>
      </w:r>
    </w:p>
    <w:p>
      <w:r>
        <w:t>En l'espèce, le débiteur est C.________. B.________ doit être considérée comme un tiers au sens de l’art. 164 ch. 2 CP et son comportement doit être examiné sous cet angle. Le recourant prétend que B.________ a participé de manière active aux agissements de son époux. Certes, au moment du transfert de la part de copropriété, B.________ savait que C.________ se trouvait dans une situation financière difficile, et que cette cession avait pour but de diminuer l’actif de son époux et de mettre la villa familiale et les meubles à l’abri d’une éventuelle saisie par ses créanciers (cf. DO 3'006, 3'007). Tribunal cantonal TC Page 5 de 6 Si elle a pleinement adhéré au projet de son époux, elle n’a toutefois pas contribué à la prise de décision, ce que ne conteste du reste pas le recourant. Elle n’a pas non plus procédé à d’autres actes qui iraient au-delà de l’acceptation de la cession de la part de copropriété, contrairement à ce que soutient son beau-père. En effet, dans la mesure où les contrats ayant pour objet le transfert de la propriété immobilière ne sont valables que s’ils sont reçus en la forme authentique (art. 657 al. 1 CC), B.________ devait passer l’acte de cession de la part de copropriété de l’immeuble par-devant un notaire pour pouvoir en devenir propriétaire et ainsi accepter le transfert de propriété. Cette démarche était indispensable à l’acquisition de la part de copropriété par l’intimée, un seul échange de volontés réciproques et concordantes étant insuffisant. Le comportement de B.________ n’a cependant pas été au-delà de l’acceptation de cette part et des meubles de la maison. La présente cause est ainsi sans similitude avec le cas jugé par le Tribunal fédéral dans l’arrêt auquel se réfère le recourant, dans lequel le tiers avait non seulement accepté la cession d’un stock de marchandises, mais avait également participé à la fondation d’une société qui a reçu ce stock d’une valeur d’environ CHF 73'000.-, sans contre-prestation correspondante (cf. arrêt TF 6S.142/2003 du 4 juillet 2003 consid. 2.1). Participer à la signature du contrat devant le notaire n’implique pas à lui seul un comportement actif au sens de l’art. 164 ch. 2 CP. Partant, B.________ doit être qualifiée de participante nécessaire et son comportement n’est pas constitutif d’une violation de l’art. 164 ch. 2 CP. La clôture de la procédure par le prononcé d’une ordonnance de classement est donc justifiée. Il s’ensuit le rejet du recours.</w:t>
      </w:r>
    </w:p>
    <w:p>
      <w:r>
        <w:rPr>
          <w:b/>
        </w:rPr>
        <w:t>E. 3.1</w:t>
      </w:r>
    </w:p>
    <w:p>
      <w:r>
        <w:t>Vu le rejet du recours, les frais de la procédure de recours, arrêtés à CHF 600.- (émolument: CHF 500.-; débours: CHF 100.-), sont mis à la charge du recourant (art. 428 al. 1 CPP). Ils seront prélevés sur l’avance de frais du même montant effectuée par le recourant le 19 septembre 2017.</w:t>
      </w:r>
    </w:p>
    <w:p>
      <w:r>
        <w:rPr>
          <w:b/>
        </w:rPr>
        <w:t>E. 3.2</w:t>
      </w:r>
    </w:p>
    <w:p>
      <w:r>
        <w:t>Aucune indemnité de partie n’est accordée à la partie qui succombe. (dispositif en page suivante) Tribunal cantonal TC Page 6 de 6 la Chambre arrête: I. Le recours est rejeté. Partant, l’ordonnance de classement du Ministère public du 25 août 2017 est confirmée. II. Les frais de la procédure de recours, arrêtés à CHF 600.- (émolument: CHF 500.-; débours: CHF 100.-), sont mis à la charge de A.________. Ils seront prélevés sur l’avance de frais du même montant effectuée par le recourant. III. Aucune indemnité de partie n’est accordée.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