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204 vom 26. Februar 2018</w:t>
      </w:r>
    </w:p>
    <w:p>
      <w:r>
        <w:t>FR Kantonsgericht, 2018-02-26, FR</w:t>
      </w:r>
    </w:p>
    <w:p>
      <w:r>
        <w:rPr>
          <w:b/>
        </w:rPr>
        <w:t xml:space="preserve">Quelle: </w:t>
      </w:r>
      <w:r>
        <w:t>https://mcp.opencaselaw.ch/entscheid/fr_gerichte_502_2017_204</w:t>
      </w:r>
    </w:p>
    <w:p>
      <w:r>
        <w:t>FR: FR_GERICHTE 502 2017 204 du 26 février 2018</w:t>
      </w:r>
    </w:p>
    <w:p>
      <w:r>
        <w:t>IT: FR_GERICHTE 502 2017 204 del 26 febbraio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 été, au plus tôt, notifiée à la recourante le 1er juillet 2017, si bien que le recours, posté le 11 juillet 2017, a été adressé à l’autorité en temps utile.</w:t>
      </w:r>
    </w:p>
    <w:p>
      <w:r>
        <w:rPr>
          <w:b/>
        </w:rPr>
        <w:t>E. 1.3</w:t>
      </w:r>
    </w:p>
    <w:p>
      <w:r>
        <w:t>Toute partie qui a un intérêt juridiquement protégé à l'annulation ou à la modification d'une décision a qualité pour recourir contre celle-ci (art. 382 al. 1 CPP).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(TF 6B_799/2015 du 4 avril 2016 consid. 2.1; ATF 140 IV 155/JdT 2015 IV 107 consid. 3.2). La recourante soutient être atteinte dans son patrimoine (art. 105 al. 1 let. a CPP). Elle a en outre déclaré dans sa plainte vouloir se constituer partie plaignante tant sur le plan pénal que civil et participer à la procédure pénale (DO/8). Elle est ainsi directement touchée par la décision querellée et a la qualité pour recourir (art. 104 al. 1 let. b et 382 al. 1 CPP).</w:t>
      </w:r>
    </w:p>
    <w:p>
      <w:r>
        <w:rPr>
          <w:b/>
        </w:rPr>
        <w:t>E. 1.4</w:t>
      </w:r>
    </w:p>
    <w:p>
      <w:r>
        <w:t>Le recours, motivé et doté de conclusions, est dès lors formellement recevable (art. 396 al. 1 et 385 al. 1 let. b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statue sans débats (art. 397 al. 1 CPP).</w:t>
      </w:r>
    </w:p>
    <w:p>
      <w:r>
        <w:rPr>
          <w:b/>
        </w:rPr>
        <w:t>E. 1.7</w:t>
      </w:r>
    </w:p>
    <w:p>
      <w:r>
        <w:t>Le recours ne concerne que le refus d'entrée en matière concernant la partie de la plainte relative à des dommages à la propriété. Le refus d'entrée en matière est en conséquence définitif en ce qui concerne la plainte relative à la disparition d'objets et aux frais d'électricité.</w:t>
      </w:r>
    </w:p>
    <w:p>
      <w:r>
        <w:t>Tribunal cantonal TC Page 4 de 6</w:t>
      </w:r>
    </w:p>
    <w:p>
      <w:r>
        <w:rPr>
          <w:b/>
        </w:rPr>
        <w:t>E. 2.1</w:t>
      </w:r>
    </w:p>
    <w:p>
      <w:r>
        <w:t>Dans son recours, la recourante reproche au Ministère public d’avoir constaté les faits de manière incomplète et erronée et d’avoir violé les art. 310 CPP et 144 CP ainsi que le principe in dubio pro duriore. La recourante allègue qu’en raison de son cancer des os et de la longue hospitalisation qui en a résulté, elle n’a pu se rendre à son atelier et qu’elle était physiquement dans l’impossibilité d’emballer ses œuvres dans des cartons et de les stocker comme il a été fait. Elle affirme également que ceux-ci étaient en bon état et produit à cet effet un dossier photographique. En outre, le placement des œuvres dans des cartons, en raison de leur volume et/ou taille, aurait impliqué d’endommager les pièces. Sur le vu de ce qui précède, la recourante soutient que la version des faits s’agissant du rangement des œuvres et de la disparation du matériel avancée par B.________ ne peut être admise, ce d’autant plus qu’elle seule avait accès à l’atelier. Finalement, la recourante soutient que la négligence ne peut être retenue. B.________, étant dans le métier de la céramique, savait très bien que lorsqu’elle a remis en ordre l’atelier et, partant, également entassé les œuvres dans les cartons, cela pouvait et devait les endommager. Ne s’étant pas abstenue de procéder de la sorte, elle aurait agi à tout le moins par dol éventuel en acceptant le résultat.</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suffisants.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w:t>
      </w:r>
    </w:p>
    <w:p>
      <w:r>
        <w:t>Tribunal cantonal TC Page 5 de 6</w:t>
      </w:r>
    </w:p>
    <w:p>
      <w:r>
        <w:rPr>
          <w:b/>
        </w:rPr>
        <w:t>E. 2.3</w:t>
      </w:r>
    </w:p>
    <w:p>
      <w:r>
        <w:t>S’agissant des objets endommagés, comme l’a relevé le Ministère public, l’infraction de dommages à la propriété (art. 144 CP) est intentionnelle, ce qui signifie que l'auteur doit avoir eu la conscience et la volonté, au moins sous la forme du dol éventuel, de s'en prendre à une chose appartenant à autrui ou à l’usage d’autrui, et d’en changer l’état (cf. art. 12 al. 2 CP; ATF 116 IV 145; DUPUIS ET AL., Petit commentaire du Code pénal, 2012, art. 144 CP b. 16 et les références citées; CORBOZ, Les infractions en droit suisse, vol. I, 3e éd., 2010, art. 144 n. 23). Le dol éventuel (art. 12 al. 2 CP) implique l’indifférence de l’auteur quant à la réalisation de l’infraction, de telle sorte qu’il doit dans son for intérieur approuver celle-ci ou y consentir;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du résultat (DUPUIS ET AL., art. 12 n. 15). En l’espèce, la recourante reproche à l’intimée d’avoir entassé des œuvres en céramique dans des cartons et de les avoir ensuite empilés. Vu les contradictions ressortant du dossier quant à la question de savoir qui avait stocké de la sorte les œuvres d’art, il ne peut être exclu que les actes tels que décrits par la recourante constituent des dommages à la propriété. D’une part, le matériel endommagé semble lui appartenir. D’autre part, l’intimée, qui a éventuellement déplacé les œuvres d’art, pourrait avoir envisagé qu’ainsi stockées, elles se retrouvent endommagées. Compte tenu de sa formation dans l’art, il est plausible qu’elle ait su qu’une telle manière de procéder pouvait porter atteinte aux œuvres en céramique. Quand bien même elle ne se serait pas fixé comme but de commettre une infraction pénale, elle pourrait avoir réalisé ainsi, à tout le moins par dol éventuel, l’infraction précitée. Par conséquent et compte tenu de la version des faits opposée avancée par chacune des parties, c’est à tort que le Procureur a d’emblée exclu, sans interroger davantage les personnes en litige, la réalisation de l'infraction pénale de dommages à la propriété, une mise en prévention n'étant pas acquise mais restant possible après nouvel examen. Le recours doit donc être partiellement admis, l’ordonnance querellée annulée et la cause renvoyée au Ministère public pour nouvel examen.</w:t>
      </w:r>
    </w:p>
    <w:p>
      <w:r>
        <w:rPr>
          <w:b/>
        </w:rPr>
        <w:t>E. 3.1</w:t>
      </w:r>
    </w:p>
    <w:p>
      <w:r>
        <w:t>Au vu de l’admission du recours, les frais de procédure y relatifs seront laissés à la charge de l’Etat (art. 428 al. 1 CPP; art. 19 du Règlement du 30 novembre 2010 sur la justice, RSF 130.11).</w:t>
      </w:r>
    </w:p>
    <w:p>
      <w:r>
        <w:rPr>
          <w:b/>
        </w:rPr>
        <w:t>E. 3.2</w:t>
      </w:r>
    </w:p>
    <w:p>
      <w:r>
        <w:t>La recourante a requis l’octroi de l’assistance judiciaire pour la procédure de recours. Selon l’art. 136 al. 1 CPC, celle-ci peut lui être octroyée pour lui permettre de faire valoir ses prétentions civiles aux conditions cumulatives suivantes: qu’elle soit indigente et que l’action civile ne paraisse pas vouée à l’échec. S'agissant de la première condition, sa réalisation découle des pièces produites, qui établissent un besoin reconnu des prestations complémentaires à l'AI. La seconde condition est donnée par le sort du recours. Partant, il convient d’admettre la requête d’assistance judiciaire et désigner l'avocat en qualité de défenseur d’office rémunéré par l’Etat. La Chambre pénale arrête elle-même l’indemnité du défenseur d’office pour la procédure de recours selon l’art. 57 al. 1 et 2 RJ. En l’espèce, pour la rédaction du recours, portant sur un objet simple et très limité, et l’examen du présent arrêt, la consultation du dossier ainsi que pour la rédaction du courrier, le temps y relatif peut être estimé, au vu du dossier, à environ 3 heures de travail, au tarif-horaire de CHF 180.-. Avec quelques autres opérations et les débours, l’indemnité sera dès lors fixée à CHF 600.-, débours compris mais TVA (8 %, taux applicable au moment de l'élaboration du recours) par CHF 48.- en sus (cf. art. 56 ss RJ).</w:t>
      </w:r>
    </w:p>
    <w:p>
      <w:r>
        <w:t>Tribunal cantonal TC Page 6 de 6 la Chambre arrête: I. Le recours est partiellement admis. Partant: 1. L’ordonnance du 30 juin 2017 rendue par le Ministère public est partiellement annulée et la cause renvoyée au Ministère public pour nouvel examen relatif à la plainte pour dommages à la propriété. 2. Il est pris acte que le refus d'entrée en matière est définitif en ce qui concerne la plainte relative à la disparition d'objets et aux frais d'électricité. II. La requête d’assistance judiciaire de A.________ pour le recours est admise. Partant, l’assistance judiciaire est accordée à A.________, qui est en conséquence exonérée des frais de procédure et à qui est désigné un défenseur d’office rémunéré par l’Etat en la personne de Me Elias Moussa, avocat à Fribourg. L’indemnité due pour la procédure de recours à Me Elias Moussa, défenseur d’office, est fixée à CHF 648.-, TVA incluse. III. Les frais de procédure sont mis à la charge de l’Etat. Ils sont fixés à CHF 480.- (émolument: CHF 400.-; débours: CHF 80.-).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février 2018/dke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