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180 vom 27. Juni 2017</w:t>
      </w:r>
    </w:p>
    <w:p>
      <w:r>
        <w:t>FR Kantonsgericht, 2017-06-27, FR</w:t>
      </w:r>
    </w:p>
    <w:p>
      <w:r>
        <w:rPr>
          <w:b/>
        </w:rPr>
        <w:t xml:space="preserve">Quelle: </w:t>
      </w:r>
      <w:r>
        <w:t>https://mcp.opencaselaw.ch/entscheid/fr_gerichte_502_2017_180</w:t>
      </w:r>
    </w:p>
    <w:p>
      <w:r>
        <w:t>FR: FR_GERICHTE 502 2017 180 du 27 juin 2017</w:t>
      </w:r>
    </w:p>
    <w:p>
      <w:r>
        <w:t>IT: FR_GERICHTE 502 2017 180 del 27 giugno 2017</w:t>
      </w:r>
    </w:p>
    <w:p>
      <w:pPr>
        <w:pStyle w:val="Heading2"/>
      </w:pPr>
      <w:r>
        <w:t>Regeste</w:t>
      </w:r>
    </w:p>
    <w:p>
      <w:r>
        <w:t>Arrêt de la Chambre pénale du Tribunal cantonal | Ausstand (Art. 56-60 StPO; 18 JG)</w:t>
      </w:r>
    </w:p>
    <w:p>
      <w:pPr>
        <w:pStyle w:val="Heading2"/>
      </w:pPr>
      <w:r>
        <w:t>Erwägungen</w:t>
      </w:r>
    </w:p>
    <w:p>
      <w:r>
        <w:rPr>
          <w:b/>
        </w:rPr>
        <w:t>E. 3</w:t>
      </w:r>
    </w:p>
    <w:p>
      <w:r>
        <w:t>Vu le sort de la demande de récusation, les frais de la procédure, arrêtés à CHF 550.- (émolument: CHF 500.-; débours: CHF 50.-), seront mis à la charge de A.________ (art. 59 al. 4 2e phr. CPP). la Chambre arrête: I. La demande de récusation du 19 mai 2017 est rejetée. II. Les frais de la procédure, arrêtés à CHF 550.- (émolument: CHF 500.-; débours: CHF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juin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