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2017 154 vom 11. Oktober 2017</w:t>
      </w:r>
    </w:p>
    <w:p>
      <w:r>
        <w:t>FR Kantonsgericht, 2017-10-11, FR</w:t>
      </w:r>
    </w:p>
    <w:p>
      <w:r>
        <w:rPr>
          <w:b/>
        </w:rPr>
        <w:t xml:space="preserve">Quelle: </w:t>
      </w:r>
      <w:r>
        <w:t>https://mcp.opencaselaw.ch/entscheid/fr_gerichte_502_2017_154</w:t>
      </w:r>
    </w:p>
    <w:p>
      <w:r>
        <w:t>FR: FR_GERICHTE 502 2017 154 du 11 octobre 2017</w:t>
      </w:r>
    </w:p>
    <w:p>
      <w:r>
        <w:t>IT: FR_GERICHTE 502 2017 154 del 11 ottobre 2017</w:t>
      </w:r>
    </w:p>
    <w:p>
      <w:pPr>
        <w:pStyle w:val="Heading2"/>
      </w:pPr>
      <w:r>
        <w:t>Regeste</w:t>
      </w:r>
    </w:p>
    <w:p>
      <w:r>
        <w:t>Arrêt de la Chambre pénale du Tribunal cantonal | Einstellung des Verfahrens (Art. 319 ff. StPO)</w:t>
      </w:r>
    </w:p>
    <w:p>
      <w:pPr>
        <w:pStyle w:val="Heading2"/>
      </w:pPr>
      <w:r>
        <w:t>Erwägungen</w:t>
      </w:r>
    </w:p>
    <w:p>
      <w:r>
        <w:rPr>
          <w:b/>
        </w:rPr>
        <w:t>E. 9</w:t>
      </w:r>
    </w:p>
    <w:p>
      <w:r>
        <w:t>octobre 2017. Tous deux concluent au rejet du recours avec suite de frais, invoquant en substance que les exigences de motivation du recours ne sont pas respectées, que les griefs soulevés par A.________ et B.________ relèvent non pas du droit pénal mais du droit civil, et que l’enquête pénale a clairement démontré qu’aucun transfert d’argent leur appartenant n’est intervenu entre les sociétés dont ils étaient les organes et d’autres clients. en droit 1. 1.1 Aux termes des art. 322 al. 2 et 20 al. 1 let. b du code de procédure pénale suisse du 5 octobre 2007 (CPP; RS 312.0) et 85 al. 1 de la loi du 31 mai 2010 sur la justice (LJ; RSF 130.1), la voie du recours à la Chambre pénale est ouverte contre une ordonnance de classement. Le délai de recours est de dix jours (art. 322 al. 2 et 396 al. 1 CPP). Conformément à l’art. 91 al. 1 CPP, le délai est réputé observé si l’acte de procédure est accompli auprès de l’autorité compétente au plus tard le dernier jour du délai. Le délai est également réputé observé si l’écrit parvient au plus tard le dernier jour du délai à une autorité suisse non compétente. Celle-ci transmet l’écrit sans retard à l’autorité pénale compétente (art. 91 al. 4 CPP). En l’espèce, l’ordonnance querellée a été notifiée le 15 mai 2017 et le recours, déposé auprès d’un office de poste suisse le 16 mai 2017 et adressé au Ministère public, a été transmis par celui-ci à la Chambre de céans le 29 mai 2017. Il s’ensuit que le délai de recours a été respecté. 1.2 A.________ et B.________ ont indubitablement qualité pour recourir (art. 382 al. 1 CPP). 1.3 La Chambre statue sans débats (art. 397 al. 1 CPP). 2. 2.1 Le recours doit être motivé (art. 396 al. 1 CPP) et indiquer précisément les motifs qui commandent une autre décision (art. 385 al. 1 let. b CPP). L’exigence de motivation du recours – qui a été elle aussi mentionnée dans la décision attaquée – englobe aussi celle de prendre des conclusions. Cela signifie que la partie recourante doit définir les modifications qui devraient être apportées à l’ordonnance attaquée et décrire les raisons qui justifieraient de telles modifications. La doctrine considère toutefois que, lorsque la partie n’est pas représentée par un mandataire professionnel, l’exigence de motivation est respectée si les conclusions peuvent être sans équivoque déduites de la motivation (ZIEGLER/KELLER in Basler Kommentar - Schweizerische Strafprozessordnung, 2e éd. 2014, art. 385 n. 1). Le recourant doit en tout état de cause exposer</w:t>
      </w:r>
    </w:p>
    <w:p>
      <w:r>
        <w:t>Tribunal cantonal TC Page 4 de 6 concrètement et spécifiquement en quoi la décision qu’il attaque contrevient aux motifs dont il se prévaut (CALAME in Commentaire romand - Code de procédure pénale suisse, 2011, art. 386 n. 21). Pour satisfaire à l'obligation de motiver, la partie recourante doit discuter les motifs de la décision entreprise et indiquer précisément en quoi elle estime que l'autorité précédente a méconnu le droit, de telle sorte que l'on comprenne clairement, à la lecture de son exposé, quelles règles de droit auraient été, selon elle, transgressées par la juridiction précédente (ATF 140 III 86 consid. 2). 2.2 En l’espèce, l’écrit des recourants ne se distingue pas par sa clarté. Il semble en effet qu’ils confondent responsabilité civile de la société K.________ Sàrl et responsabilité pénale de ses associés-gérants. Ce nonobstant, il convient de relever que les recourants ne sont pas représentés par un avocat et que par conséquent, il suffit que leurs conclusions puissent être clairement déduites de leur courrier. Ainsi, même en l’absence de conclusions formelles, on comprend aisément qu’ils requièrent la condamnation des prévenus et la réparation du préjudice subi. On peut notamment y lire « Ils doivent nous rembourser ce que nous leur avons versé et qui n’a jamais été fait; […] ils doivent nous payer ce qu’ils avaient convenu d’exécuter chez nous comme travaux; […] nous réclamons, par le présent courrier, les dédommagements financiers dont nous avons été les victimes; […] ». Les considérants contestés sont en outre précisément indiqués, les recourants se référant aux « articles » de la décision querellée (recours p. 3 par. 4 et 10). De plus, ils exposent concrètement en quoi la constatation des faits par l’autorité précédente est lacunaire en ce qui les concerne. Ils soulignent à ce titre que des acomptes versés par leurs soins ont aussi été utilisés à d’autres fins que pour la construction de leur maison: « recours p. 2 § 10: [ils] ont su […] encaisser notre argent et l’utiliser à des fins qui n’avaient rien à voir avec notre maison et l’avancement des travaux de notre maison »; recours p. 3 § 5:« […] l’argent que nous leur avons versé n’a pas été utilisé pour la construction de notre maison ». Ils ajoutent encore n’avoir pour cela obtenu aucun dédommagement (recours p. 3 § 12: « Nous n’avons reçu aucun dédommagement […]). Enfin, comme on le verra (cf. infra consid. 3.2), les motifs du classement de la procédure envers les époux A.________ et B.________ ne ressortent pas clairement de l’ordonnance litigieuse. On ne saurait dans ces conditions se montrer trop strict quant à l’exigence de motivation du recours contestant une décision dont la motivation est elle-même insuffisante. Compte tenu des éléments qui précèdent, le recours de A.________ et B.________ répond aux exigences minimales de motivation et est recevable. 3. 3.1 L'art. 319 al. 1 let. b et let. e CPP prévoit que le ministère public ordonne le classement de tout ou partie de la procédure lorsque les éléments constitutifs d’une infraction ne sont pas réunis et lorsqu’on peut renoncer à toute poursuite ou à toute sanction en vertu de dispositions légales. Selon la jurisprudence, cette disposition doit être appliquée conformément à l'adage in dubio pro duriore. Celui-ci découle du principe de la légalité (art. 5 al. 1 Cst. et 2 al. 2 CPP en relation avec les art. 319 al. 1 et 324 CPP; ATF 138 IV 86 consid. 4.2 p. 91) et signifie qu'en principe un classement ou une non-entrée en matière ne peuvent être prononcés par le ministère public que lorsqu'il apparaît clairement que les faits ne sont pas punissables ou que les conditions à la poursuite pénale ne sont pas remplies. Le ministère public et l'autorité de recours disposent, dans ce cadre, d'un pouvoir d'appréciation. La procédure doit se poursuivre lorsqu'une condamnation apparaît plus vraisemblable qu'un acquittement ou lorsque les probabilités d'acquittement et de condamnation apparaissent équivalentes, en particulier en présence d'une infraction grave (ATF 138 IV 86 consid. 4.1.2 p. 91; 138 IV 186 consid. 4.1 p. 190).</w:t>
      </w:r>
    </w:p>
    <w:p>
      <w:r>
        <w:t>Tribunal cantonal TC Page 5 de 6 3.2 Certes, les griefs des recourants invoqués pêle-mêle tout au long de la procédure ainsi que dans leur recours relèvent plus de la mauvaise exécution du contrat que du comportement éventuellement répréhensible des prévenus. Ils exposent notamment successivement qu’aucun certificat de conformité ne leur a été délivré (recours p. 2 § 1: « notre maison n’a pas reçu de fin de déclaration des travaux en ordre, où est notre garantie décennale ? »), puis s’interrogent sur le dédommagement des défauts de leur maison (recours p. 2 § 2: « Qui va nous payer les malfaçons de notre maison, […] ? »), avant de relever que les prévenus ont « su [les] berner » (recours p. 2 § 10). Cependant, il appartient à l’autorité de poursuite pénale d’examiner si les faits sont punissables, autrement dit la réalisation ou non des éléments constitutifs objectifs et subjectifs de chaque disposition pénale concernée ainsi que la réunion des conditions de la poursuite pénale. La confusion des recourants entre mauvaise exécution du mandat et infraction pénale dans l’exposition de leurs arguments ne doit pas altérer cet examen qui lui incombe. 3.3 Le Ministère public relève que l’enquête a permis d’établir que les prévenus ont utilisé les acomptes versés par leurs clients L.________ et M.________, E.________, N.________ et O.________ ainsi que I.________ et J.________ pour couvrir les déficits engendrés par les premières constructions. Il retient que ce comportement doit être qualifié d’abus de confiance au sens de l’art. 138 CP. Cela étant, il expose que les conditions d’application de l’art. 53 CP sont manifestement réunies étant donné la conclusion de conventions entre les prévenus et ces clients qui ont été dédommagés. Il a ainsi classé la procédure pénale ouverte à l’encontre des prévenus conformément à l’art. 319 al. 1 let. e CPP. Les considérations du Ministère public à l’égard des clients précités ne prêtent pas le flanc à la critique. En revanche, en ce qui concerne les recourants, avec lesquels les prévenus ont refusé de passer une convention, la décision entreprise ne fait que mentionner, d’une part, leur constitution en qualité de parties plaignantes comme demandeurs au pénal et au civil, et, d’autre part, la contestation de toute responsabilité civile et pénale par les prévenus à leur égard. Mais le Ministère public n’indique pas pourquoi les faits dont se plaignent et se disent victimes les recourants ont été classés. Il ne signale pas, même subrepticement, qu’il partage l’avis des prévenus exprimé dans leur courrier du 12 février 2014, selon lequel « l’instruction pénale a mis en lumière qu’aucun transfert d’argent [leur] appartenant n’est intervenu entre [leurs] sociétés […] et d’autres clients. » (cf. lettre du 12 février 2014 DO 9403 s.). Or, le rapport du conseiller économique de l’Office des Juges d’instruction du 16 décembre 2008 mentionne que les fonds ayant permis les paiements de factures de la société H.________ Sàrl en rapport avec le chantier de E.________ provenaient notamment d’un versement de CHF 30'000.- des recourants à la société F.________ Sàrl le 10 mars 2008 (« Toutefois, les fonds ayant permis ces paiements provenaient de versements d’autres clients, soit A.________ (CHF 30'000.- le 10.3.2008, tableau no 1, p. 13)… »; DO 8003 et 8018). Les prévenus semblent ainsi avoir également utilisé une partie de l’argent versé par les recourants à d’autres fins que celle convenue, le conseiller économique notant que « [C]ette manière d’opérer viole l’article 12 du mandat d’architecture du 26.05.2007, qui précise que « Les parties confirment que le crédit de construction sera utilisé exclusivement pour le règlement des factures en relation avec l’objet du présent Mandat d’architecture » » (DO 8003 et 69032). Cette appréciation va à l’encontre des propos tenus par les prévenus dans leur courrier du</w:t>
      </w:r>
    </w:p>
    <w:p>
      <w:r>
        <w:rPr>
          <w:b/>
        </w:rPr>
        <w:t>E. 12</w:t>
      </w:r>
    </w:p>
    <w:p>
      <w:r>
        <w:t>mai 2017 annulée en tant qu’elle classe les infractions dénoncées par A.________ et B.________. La cause est renvoyée au Ministère public pour nouvel examen. 4. 4.1 Vu le sort du recours, les frais de la procédure, fixés à CHF 500.- (émolument: CHF 400.-; débours: CHF 100.-) seront mis à la charge de l’Etat (art. 428 al. 1 et 4 CPP; art. 124 LJ et 33 ss RJ). 4.2 La requête de D.________ tendant à ce qu’un délai lui soit imparti pour chiffrer et déposer une requête d’indemnité au sens des art. 429 ss et 432 CPP est, compte tenu de l’admission du recours, sans objet. Il n’y a en effet pas matière à indemnité pour les intimés. la Chambre arrête: I. Le recours est admis. Partant, le chiffre 1 de l’ordonnance du 12 mai 2017, en tant qu’il classe les infractions dénoncées par A.________ et B.________ à l’encontre de D.________ et C.________, est annulé et la cause est renvoyée au Ministère public pour nouvel examen. II. Les frais de procédure sont fixés à CHF 500.- (émolument: CHF 400.-; débours: CHF 100.-) et sont mis à la charge de l'Etat. Il n’est pas alloué d’indemnité. III. Communication. Cet arrêt peut faire l'objet d'un recours en matière pénale au Tribunal fédéral dans les trente jours dès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Fribourg, le 11 octobre 2017/ege Le Président La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