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2017 119 vom 20. April 2017</w:t>
      </w:r>
    </w:p>
    <w:p>
      <w:r>
        <w:t>FR Kantonsgericht, 2017-04-20, FR</w:t>
      </w:r>
    </w:p>
    <w:p>
      <w:r>
        <w:rPr>
          <w:b/>
        </w:rPr>
        <w:t xml:space="preserve">Quelle: </w:t>
      </w:r>
      <w:r>
        <w:t>https://mcp.opencaselaw.ch/entscheid/fr_gerichte_502_2017_119</w:t>
      </w:r>
    </w:p>
    <w:p>
      <w:r>
        <w:t>FR: FR_GERICHTE 502 2017 119 du 20 avril 2017</w:t>
      </w:r>
    </w:p>
    <w:p>
      <w:r>
        <w:t>IT: FR_GERICHTE 502 2017 119 del 20 aprile 2017</w:t>
      </w:r>
    </w:p>
    <w:p>
      <w:pPr>
        <w:pStyle w:val="Heading2"/>
      </w:pPr>
      <w:r>
        <w:t>Regeste</w:t>
      </w:r>
    </w:p>
    <w:p>
      <w:r>
        <w:t>Arrêt de la Chambre pénale du Tribunal cantonal | Untersuchungs- oder Sicherheitshaft (Art. 222 und 231-233 StPO)</w:t>
      </w:r>
    </w:p>
    <w:p>
      <w:pPr>
        <w:pStyle w:val="Heading2"/>
      </w:pPr>
      <w:r>
        <w:t>Erwägungen</w:t>
      </w:r>
    </w:p>
    <w:p>
      <w:r>
        <w:rPr>
          <w:b/>
        </w:rPr>
        <w:t>E. 1</w:t>
      </w:r>
    </w:p>
    <w:p>
      <w:r>
        <w:t>a) La décision ordonnant la prolongation de la détention provisoire est sujette à recours auprès de la Chambre pénale (art. 20 al. 1 let. c, 222 et 393 al. 1 CPP, art. 64 let. c et 85 LJ). b) Toute partie qui a un intérêt juridiquement protégé à l’annulation ou à la modification d’une décision a qualité pour recourir contre celle-ci (art. 381 al. 1 CPP). La loi reconnaît la qualité de partie au prévenu (art. 104 al. 1 let. a CPP). c) Doté de conclusions et d’une motivation suffisante, le recours répond aux exigences de forme (art. 385 CPP). d) Le recours ayant été déposé le 6 avril 2017, le délai de dix jours pour recourir (art. 396 al. 1 CPP) a été respecté (cf. détermination du Tmc du 10 avril 2017). e) La Chambre jouit d'une pleine cognition, en fait, en droit et en opportunité (art. 393 al. 2 CPP). Elle statue sans débats (art. 397 al. 1 CPP).</w:t>
      </w:r>
    </w:p>
    <w:p>
      <w:r>
        <w:rPr>
          <w:b/>
        </w:rPr>
        <w:t>E. 2</w:t>
      </w:r>
    </w:p>
    <w:p>
      <w:r>
        <w:t>Une mesure de détention n'est compatible avec la liberté personnelle (art. 10 al. 2 Cst. et</w:t>
      </w:r>
    </w:p>
    <w:p>
      <w:r>
        <w:rPr>
          <w:b/>
        </w:rPr>
        <w:t>E. 5</w:t>
      </w:r>
    </w:p>
    <w:p>
      <w:r>
        <w:t>a) Vu l’issue de la procédure, les frais doivent être mis à la charge du recourant (art. 428 CPP, art. 35 et 43 RJ). Ils seront fixés à CHF 600.- (émolument: CHF 500.-; débours: CHF 100.-). b) La Chambre pénale arrête elle-même l’indemnité du défenseur d’office pour la procédure de recours selon l’art. 57 al. 1 et 2 RJ (RFJ 2015 73). En l’espèce, pour la rédaction du recours, l’examen des déterminations et la rédaction des ultimes observations, le temps y relatif peut être estimé au vu du dossier à environ 5 heures de travail avec quelques autres petites opérations et les débours, au tarif-horaire de CHF 180.-. L’indemnité sera dès lors fixée à CHF 1’100.-, débours compris, mais TVA (8 %) par CHF 88.- en sus (cf. art. 56 ss RJ). (dispositif en page suivante)</w:t>
      </w:r>
    </w:p>
    <w:p>
      <w:r>
        <w:t>Tribunal cantonal TC Page 7 de 7 la Chambre arrête: I. Le recours du 6 avril 2017 est rejeté. Partant, la décision du 23 mars 2017 prolongeant le placement de A.________ en détention provisoire jusqu’au 15 mai 2017 est confirmée. II. L’indemnité due pour la procédure de recours à Me Yasemin Bayhan Nager, défenseure d’office, est fixée à CHF 1’188.-, TVA par CHF 88.- incluse. III. Les frais, fixés à CHF 1'788.- (émolument: CHF 500.-; débours: CHF 100.-; frais de défense d'office: CHF 1’188.-), sont mis à la charge de A.________. Le remboursement à l'Etat de l'indemnité allouée au chiffre II ci-dessus sera exigible dès que la situation économique de A.________ le permettra.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20 avril 2017/swo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