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100 vom 3. Juli 2017</w:t>
      </w:r>
    </w:p>
    <w:p>
      <w:r>
        <w:t>FR Kantonsgericht, 2017-07-03, FR</w:t>
      </w:r>
    </w:p>
    <w:p>
      <w:r>
        <w:rPr>
          <w:b/>
        </w:rPr>
        <w:t xml:space="preserve">Quelle: </w:t>
      </w:r>
      <w:r>
        <w:t>https://mcp.opencaselaw.ch/entscheid/fr_gerichte_502_2017_100</w:t>
      </w:r>
    </w:p>
    <w:p>
      <w:r>
        <w:t>FR: FR_GERICHTE 502 2017 100 du 3 juillet 2017</w:t>
      </w:r>
    </w:p>
    <w:p>
      <w:r>
        <w:t>IT: FR_GERICHTE 502 2017 100 del 3 luglio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 b) Selon les art. 322 al. 2 et 396 al. 1 CPP, le recours est adressé par écrit, dans le délai de dix jours, à l’autorité de recours. L’ordonnance querellée a été notifiée au recourant le 20 mars 2017, si bien que le mémoire de recours, posté le 27 mars 2017, a été adressé à l’autorité en temps utile.</w:t>
      </w:r>
    </w:p>
    <w:p>
      <w:r>
        <w:t>Tribunal cantonal TC Page 3 de 5 c) L’ordonnance querellée prononce la non-entrée en matière sur les faits objets de la plainte pénale. Le recourant étant partie plaignante, il est directement touché par cette décision et a la qualité pour recourir (art. 104 al. 1 let. b et 382 al. 1 CPP). d)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d'un mémoire en justice et il ne contient pas de conclusions formelles. Pour autant, on peut y lire la modification que le recourant veut faire apporter à l’ordonnance attaquée et l'indication de raisons qui la justifieraient. Cette partie n’étant de plus pas représentée par un avocat, l’exigence de motivation est appréciée, selon une pratique constante en de tels cas, avec moins de rigueur et elle doit être considérée en l'espèce comme respectée.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w:t>
      </w:r>
    </w:p>
    <w:p>
      <w:r>
        <w:rPr>
          <w:b/>
        </w:rPr>
        <w:t>E. 2</w:t>
      </w:r>
    </w:p>
    <w:p>
      <w:r>
        <w:t>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w:t>
      </w:r>
    </w:p>
    <w:p>
      <w:r>
        <w:t>Tribunal cantonal TC Page 4 de 5 présence d'une infraction grave (ATF 138 IV 86 consid. 4.1.2; 137 IV 285 consid. 2.5, voir aussi arrêt TF 6B_701/2014 du 14 novembre 2014 consid. 2.1). b) Dans le cadre de son recours, le recourant souligne qu’à l’époque des faits, il se trouvait dans un état psychologique et émotionnel faible, qui l’aurait laissé à la merci de B.________. Il explique que cette dernière aurait ainsi profité de sa faiblesse pour lui extorquer de l’argent. Il expose notamment les raisons qui l’auraient obligé à procéder au versement des € 1'300.00, soit que B.________ l’aurait menacé de mettre fin à ses jours et de lui transmettre la garde de sa fille s’il ne s’exécutait pas; il sied toutefois de constater d’emblée que cette version ne correspond pas à ce qu’il avait soutenu lors de son audition de police du 9 novembre 2016, au cours de laquelle il avait expliqué qu’une fois la somme versée et B.________ partie en vacances, cette dernière l’avait menacé de mettre fin à ses jours s’il ne la rejoignait pas. Le recourant relève encore qu’au vu de l’aisance dont a fait preuve B.________ dans ses agissements, il suspecte qu’elle n’agisse pas seule mais au sein d’une organisation. Ce faisant, le recourant se contente de rappeler les faits déjà pris en compte par l’autorité intimée, tout en y apportant sa propre appréciation, et n’indique aucunement en quoi la décision querellée serait erronée. Or, les motifs exposés par le Ministère public ne prêtent pas le flanc à la critique. En effet, rien ne permet de retenir que les propos prétendument tenus par B.________ en juillet 2016 constitueraient une menace sérieuse au sens que l’entendent les art. 156 (extorsion et chantage) et 181 CP (contrainte). Au contraire, les pièces présentes au dossier, à savoir les messages instantanés et les courriels adressés par B.________ au recourant durant les mois d’octobre et novembre 2016 (DO 18 à 25), laissent plutôt apparaître que celle-ci aurait vécu difficilement la séparation d’avec ce dernier. Lesdits messages et courriels ne présentent pas de caractère menaçant, B.________ cherchant apparemment simplement à obtenir des réponses à ses interrogations quant à la fin de sa relation de couple qu’elle n’acceptait que difficilement. Ainsi, replacés dans leur contexte, lesdits propos de juillet 2016 n’apparaissent pas constituer une menace sérieuse, de nature à inquiéter le recourant. De surcroît, comme l’a relevé le Ministère public, au moment où B.________ aurait tenu les propos en question, l’épouse et les enfants du recourant étaient déjà au courant de la relation extraconjugale de celui-ci. En outre, lors de son audition par la police, le recourant a déclaré qu’il avait continué à converser avec B.________ par la suite, en lui disant notamment « des mots doux » (DO 16), et l’a même rencontrée à nouveau fin août 2016 en Allemagne. Dans ces circonstances, A.________ cherche en vain à donner un aspect pénal aux conséquences de ses légèretés. C’est à raison que le Ministère public a refusé d’entrer en matière sur la plainte pénale. Partant, le recours doit être rejeté.</w:t>
      </w:r>
    </w:p>
    <w:p>
      <w:r>
        <w:rPr>
          <w:b/>
        </w:rPr>
        <w:t>E. 3</w:t>
      </w:r>
    </w:p>
    <w:p>
      <w:r>
        <w:t>a) Vu l’issue du recours, les frais de la présente procédure, arrêtés à CHF 500.- (émolument: CHF 400.-; débours: CHF 100.-) seront mis à la charge de A.________ (art. 428 al. 1 CPP). b) Aucune indemnité de partie n’est allouée au recourant qui succombe.</w:t>
      </w:r>
    </w:p>
    <w:p>
      <w:r>
        <w:t>Tribunal cantonal TC Page 5 de 5 la Chambre arrête: I. Le recours est rejeté. Partant, l’ordonnance de non-entrée en matière rendue le 17 mars 2017 par le Ministère public est confirmée. II. Les frais de la procédure sont arrêtés à CHF 500.- (émolument : CHF 400.- ; débours : CHF 100.-). Ils sont mis à la charge de A.________ et sont prélevés sur le dépôt effectué.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juillet 2017/ege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