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76 vom 28. Oktober 2016</w:t>
      </w:r>
    </w:p>
    <w:p>
      <w:r>
        <w:t>FR Kantonsgericht, 2016-10-28, FR</w:t>
      </w:r>
    </w:p>
    <w:p>
      <w:r>
        <w:rPr>
          <w:b/>
        </w:rPr>
        <w:t xml:space="preserve">Quelle: </w:t>
      </w:r>
      <w:r>
        <w:t>https://mcp.opencaselaw.ch/entscheid/fr_gerichte_502_2016_76</w:t>
      </w:r>
    </w:p>
    <w:p>
      <w:r>
        <w:t>FR: FR_GERICHTE 502 2016 76 du 28 octobre 2016</w:t>
      </w:r>
    </w:p>
    <w:p>
      <w:r>
        <w:t>IT: FR_GERICHTE 502 2016 76 del 28 ottobre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Le recours contre la décision de classement du 15 mars 106 en la cause instruite contre B.________ est admis.</w:t>
      </w:r>
    </w:p>
    <w:p>
      <w:r>
        <w:rPr>
          <w:b/>
        </w:rPr>
        <w:t>E. 2</w:t>
      </w:r>
    </w:p>
    <w:p>
      <w:r>
        <w:t>La cause est renvoyée au Ministère public pour suite de l’enquête, éventuellement classement, ordonnance pénale ou renvoi.</w:t>
      </w:r>
    </w:p>
    <w:p>
      <w:r>
        <w:rPr>
          <w:b/>
        </w:rPr>
        <w:t>E. 3</w:t>
      </w:r>
    </w:p>
    <w:p>
      <w:r>
        <w:t>a) Vu l’issue du pourvoi et en application des art. 428 al. 1 CPP, 33 ss et 43 RJ, les frais de la procédure de recours seront mis à la charge de la recourante.</w:t>
      </w:r>
    </w:p>
    <w:p>
      <w:r>
        <w:t>Tribunal cantonal TC Page 10 de 10 b) Quant à l’indemnité de partie requise par l'intimée pour la procédure de recours, l'indemnisation découlant des art. 429 al. 1 let. a, 432 et 436 CPP suppose que tant le recours à un avocat que l'activité déployée par celui-ci sont justifiés (ATF 138 IV 197 consid. 2.3.4 / JdT 2013 IV 184;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s’agissant d’une question juridique technique pour un non juriste et vu la nature de la cause, d'autant qu'en face la recourante était assistée d'un conseil. S'agissant du montant de l'indemnité, l’établissement des observations du 29 avril 2016 peut être estimé à environ 5 heures de travail au tarif horaire normal de CHF 250.-; avec l’analyse du présent arrêt ainsi quelques autres petites opérations et les débours, l’indemnité sera fixée à CHF 1'500.-, TVA (8%) par CHF 120.- en sus. Selon la jurisprudence fédérale, lorsque, comme en l'espèce, le classement attaqué sans succès a été décidé par le Ministère public, les frais de défense de l'intimé ne peuvent être mis à la charge de la partie recourante mais doivent rester à la charge de l'Etat (ATF 141 IV 476 consid. 1). la Chambre arrête: I. Le recours est rejeté. Partant, l’ordonnance de classement du 15 mars 2016 est confirmée. II. Les frais de la procédure de recours sont fixés à CHF 620.- (émolument: CHF 500.-; débours: CHF 120.-) et sont mis à la charge de A.________. III. Une indemnité de CHF 1'620.-, y compris CHF 120.- de TVA, est allouée à B.________; elle est mise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octobre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