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37 vom 8. Juli 2016</w:t>
      </w:r>
    </w:p>
    <w:p>
      <w:r>
        <w:t>FR Kantonsgericht, 2016-07-08, FR</w:t>
      </w:r>
    </w:p>
    <w:p>
      <w:r>
        <w:rPr>
          <w:b/>
        </w:rPr>
        <w:t xml:space="preserve">Quelle: </w:t>
      </w:r>
      <w:r>
        <w:t>https://mcp.opencaselaw.ch/entscheid/fr_gerichte_502_2016_37</w:t>
      </w:r>
    </w:p>
    <w:p>
      <w:r>
        <w:t>FR: FR_GERICHTE 502 2016 37 du 8 juillet 2016</w:t>
      </w:r>
    </w:p>
    <w:p>
      <w:r>
        <w:t>IT: FR_GERICHTE 502 2016 37 del 8 luglio 2016</w:t>
      </w:r>
    </w:p>
    <w:p>
      <w:pPr>
        <w:pStyle w:val="Heading2"/>
      </w:pPr>
      <w:r>
        <w:t>Regeste</w:t>
      </w:r>
    </w:p>
    <w:p>
      <w:r>
        <w:t>Arrêt de la Chambre pénale du Tribunal cantonal | Strafrecht</w:t>
      </w:r>
    </w:p>
    <w:p>
      <w:pPr>
        <w:pStyle w:val="Heading2"/>
      </w:pPr>
      <w:r>
        <w:t>Erwägungen</w:t>
      </w:r>
    </w:p>
    <w:p>
      <w:r>
        <w:rPr>
          <w:b/>
        </w:rPr>
        <w:t>E. 1</w:t>
      </w:r>
    </w:p>
    <w:p>
      <w:r>
        <w:t>Le recours est admis.</w:t>
      </w:r>
    </w:p>
    <w:p>
      <w:r>
        <w:rPr>
          <w:b/>
        </w:rPr>
        <w:t>E. 2</w:t>
      </w:r>
    </w:p>
    <w:p>
      <w:r>
        <w:t>Les procédures 502 2015 217, 502 2015 236 et 501 2015 162 sont suspendues au sens des considérants, à l'exception des mesures provisionnelles demandées.</w:t>
      </w:r>
    </w:p>
    <w:p>
      <w:r>
        <w:rPr>
          <w:b/>
        </w:rPr>
        <w:t>E. 2.1</w:t>
      </w:r>
    </w:p>
    <w:p>
      <w:r>
        <w:t>p. 9; 134 I 229 consid. 2.3 p. 232). Pour pouvoir se plaindre avec succès d'un retard injustifié, la partie doit être vainement intervenue auprès de l'autorité pour que celle-ci statue à bref délai (TF arrêts 1B_138/2016 du 18 avril 2016 consid. 2; 1B_24/2013 du 12 février 2013 consid. 4 et les arrêts cités). Etant donné que le recours doit être motivé (art. 396 al. 1 CPP), il incombe au recourant d'expliquer de manière claire et précise en quoi l'inaction qu'il conteste pourrait être contraire aux garanties de la Constitution fédérale ou au droit fédéral. d) En l'espèce, le recourant semble motiver son recours en affirmant qu'il y avait "des faits nouveaux" qui "paraissent révéler une responsabilité pénale" du Dr B.________ et de C.________ (recours p. 3 ch.3). Il semble également que ce qu'il appelle des faits nouveaux serait le fait que l'information selon laquelle les mesures d'éloignement contre le plaignant ont été prononcées le 14 mai 2014, soit postérieurement aux ordonnances de non-entrée en matière, a été apportée dans la plainte du 30 décembre 2014 (id., ch. 2.d). Cela ne suffit cependant pas à démontrer que les procédures devraient être reprises. En tout état de cause il est en effet nécessaire que les prétendus faits nouveaux seraient de nature telle que, s'ils avaient été connus du Ministère public au moment de l'ordonnance de non-entrée en matière, celle-ci n'aurait pas été prononcée (cf. SCHMID, StPO Praxiskommentar, 2ème éd., 2013, Art. 323 n 3). Or le recourant n'indique pas quel(s) étai(en)t le(s) motif(s) ayant conduit à la non-entrée en matière et a fortiori pas non plus en quoi la prétendue information constitutive d'un fait nouveau aurait pu faire modifier le raisonnement antérieur. A défaut d'une telle démonstration, le recourant ne satisfait pas à l'obligation de motivation, respectivement ne démontre pas son intérêt au recours. e) Même recevable, le recours est de toute manière infondé. En effet, le recourant n'a pas établi qu'il aurait déposé une requête tendant à la reprise de ces procédures, ni qu'il aurait relancé l'autorité qui tarderait à statuer. La condition d'une vaine intervention n'est donc pas donnée. Par surabondance, le recourant indique lui-même avoir déposé de nouvelles plaintes concernant le même état de fait, notamment le 30 décembre 2014. Le réexamen de l'état de fait dans le cadre d'une nouvelle plainte dispensait de toute manière d'un éventuel examen sur la nécessité d'une reprise de cause. 5. Les conclusions du recours qui vont au-delà du constat d'un déni de justice et des frais sont totalement irrecevables dans un recours pour déni de justice. 6. a) Au vu du sort du recours, les frais de procédure doivent être mis à la charge du recourant (art. 428 al. 1 CPP; art. 33 ss et 43 RJ). b) Pour le même motif, la requête d'indemnité du recourant ne peut qu'être rejetée (art. 429 CPP). (dispositif en page suivante)</w:t>
      </w:r>
    </w:p>
    <w:p>
      <w:r>
        <w:t>Tribunal cantonal TC Page 5 de 5 la Chambre arrête: I. La demande de récusation est rejetée. II. Le recours est irrecevable. III. La requête d’indemnité est rejetée. IV. Les frais de procédure, par CHF 550.- (émolument: CHF 500.-; débours: CHF 50.-),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juillet 2016 Président Greffière</w:t>
      </w:r>
    </w:p>
    <w:p>
      <w:r>
        <w:rPr>
          <w:b/>
        </w:rPr>
        <w:t>E. 3</w:t>
      </w:r>
    </w:p>
    <w:p>
      <w:r>
        <w:t>Le déni de justice est constaté au sens des considérants.</w:t>
      </w:r>
    </w:p>
    <w:p>
      <w:r>
        <w:rPr>
          <w:b/>
        </w:rPr>
        <w:t>E. 4</w:t>
      </w:r>
    </w:p>
    <w:p>
      <w:r>
        <w:t>Le Tribunal fixe les délais appropriés aux circonstances (art. 397 al. 4 CPP).</w:t>
      </w:r>
    </w:p>
    <w:p>
      <w:r>
        <w:rPr>
          <w:b/>
        </w:rPr>
        <w:t>E. 5</w:t>
      </w:r>
    </w:p>
    <w:p>
      <w:r>
        <w:t>Les frais sont à la charge de l'Etat de Fribourg.</w:t>
      </w:r>
    </w:p>
    <w:p>
      <w:r>
        <w:rPr>
          <w:b/>
        </w:rPr>
        <w:t>E. 6</w:t>
      </w:r>
    </w:p>
    <w:p>
      <w:r>
        <w:t>Une équitable indemnité est allouée au recourant. 2. Dans sa détermination du 7 mars 2016, le Ministère public a invité la Chambre à rejeter le recours dans la mesure où il serait recevable. 3. a) Le recourant a par ailleurs fait verser au dossier trois autres écritures, des 18 mars, 6 et 18 juin 2016, portant notamment demande de récusation des juges Henninger, Bugnon et Delabays ainsi que de la Greffière Faller. b) Selon des principes plusieurs fois rappelés au recourant,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c) En l’espèce, A.________ émet divers reproches à l’égard des juges dont il requiert la récusation, reproches se rapportant tous à des dossiers antérieurs ou parallèles. Il soutient que des dossiers du Ministère public qui auraient dû être produits ne l'ont pas été et que ces juges ont commis de lourdes fautes procédurales à son détriment, au point que sont frappées de nullité "l'ensemble des décisions rendues en matière civile, pénale et administrative par les autorités cantonales et fédérales" en raison de violation du droit d'être entendu, du principe de la présomption d'innocence, du droit à la liberté, du droit à un tribunal indépendant, de l'interdiction de l'arbitraire et de la protection de la sphère privée et de la famille.</w:t>
      </w:r>
    </w:p>
    <w:p>
      <w:r>
        <w:t>Tribunal cantonal TC Page 3 de 5 Cela n’est cependant nullement démontré et ne résulte en tous les cas pas du fait qu’un ou des juges rejettent plusieurs recours ou requêtes successifs d’un même justiciable. Il suffit pour le reste de se référer à l'arrêt rendu par le Tribunal fédéral en la cause 6B_467/2015, le 9 juillet 2015, selon lequel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w:t>
      </w:r>
    </w:p>
    <w:p>
      <w:r>
        <w:rPr>
          <w:b/>
        </w:rPr>
        <w:t>E. 8</w:t>
      </w:r>
    </w:p>
    <w:p>
      <w:r>
        <w:t>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Depuis lors le nombre de procédures n'a fait que croitre et les procédés de prolixité, de récusation et de révision demeurent les mêmes. La requête de récusation est ainsi manifestement mal fondée, de sorte que la Chambre de céans peut la rejeter elle-même. 4. a) Le texte de ce recours ne précise pas expressément et formellement quelle est ou quelles sont les procédures en cours au Ministère public qui seraient affectées du déni de justice dont se plaint le recourant. Pour autant qu'on puisse le comprendre dans le mélange de reproches et d'affirmations, il paraît concerner les causes F 11 7156 et F 12 7167 qui avaient été closes par des ordonnances de non-entrée en matière. Le recourant considère qu'une reprise de ces procédures aurait dû être ordonnée à partir du 30 décembre 2014, soit de sa plainte de ce jour-là qui contiendrait des faits nouveaux (recours p. 3 ch. 3 ss). b) Il n'est pas douteux qu'un justiciable puisse se plaindre d'un déni de justice pour une procédure pénale par la voie du recours (art. 393 al. 2 let. a CPP).</w:t>
      </w:r>
    </w:p>
    <w:p>
      <w:r>
        <w:t>Tribunal cantonal TC Page 4 de 5 c) Selon la jurisprudence, commet un déni de justice formel et viole l'art. 29 al. 1 Cst. l'autorité qui ne statue pas ou n'entre pas en matière sur un recours ou un grief qui lui est soumis dans les formes et délai légaux, alors qu'elle était compétente pour le faire (ATF 135 I 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