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258 vom 20. Dezember 2016</w:t>
      </w:r>
    </w:p>
    <w:p>
      <w:r>
        <w:t>FR Kantonsgericht, 2016-12-20, FR</w:t>
      </w:r>
    </w:p>
    <w:p>
      <w:r>
        <w:rPr>
          <w:b/>
        </w:rPr>
        <w:t xml:space="preserve">Quelle: </w:t>
      </w:r>
      <w:r>
        <w:t>https://mcp.opencaselaw.ch/entscheid/fr_gerichte_502_2016_258</w:t>
      </w:r>
    </w:p>
    <w:p>
      <w:r>
        <w:t>FR: FR_GERICHTE 502 2016 258 du 20 décembre 2016</w:t>
      </w:r>
    </w:p>
    <w:p>
      <w:r>
        <w:t>IT: FR_GERICHTE 502 2016 258 del 20 dicembre 2016</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w:t>
      </w:r>
    </w:p>
    <w:p>
      <w:r>
        <w:rPr>
          <w:b/>
        </w:rPr>
        <w:t>E. 5</w:t>
      </w:r>
    </w:p>
    <w:p>
      <w:r>
        <w:t>octobre 2007 (RS 312.0; CPP) et 85 al. 1 de la loi du 31 mai 2010 sur la justice (RSF 130.1; LJ), la voie du recours à la Chambre pénale est ouverte contre une ordonnance de non-entrée en matière. b) Déposé le 5 octobre 2016 à un office postal, le recours contre la décision notifiée à une date inconnue doit être considéré comme interjeté en temps utile (art. 322 al. 2 et 396 al. 1 CPP). c) Le recours doit être motivé (art. 396 al. 1 CPP) et indiquer précisément les motifs qui commandent une autre décision (art. 385 al. 1 let. b CPP). Tel est le cas en l’espèce. d) Toute partie qui a un intérêt juridiquement protégé à l'annulation ou à la modification d'une décision a qualité pour recourir contre celle-ci (art. 382 al. 1 CPP). Le recourant s’est constitué partie plaignante (DO 5). De plus, le secret de fonction protège également la sphère privée des administrés. La qualité pour recourir doit dès lors être admise dans le cas d’espèce. e) Le recours peut être formé pour violation du droit, y compris l’excès et l’abus du pouvoir d’appréciation, le déni de justice et le retard injustifié, pour constatation incomplète ou erronée des faits et pour inopportunité (art. 393 al. 2 CPP). f) Il sera statué sans débats (art. 397 al. 1 CPP).</w:t>
      </w:r>
    </w:p>
    <w:p>
      <w:r>
        <w:t>Tribunal cantonal TC Page 3 de 5 2. a) Le recourant reproche au Ministère public une constatation incomplète et/ou erronée des faits et la violation de l’art. 310 CPP. Il soutient en substance que les éléments constitutifs subjectifs de l’art. 320 CP sont réalisés, le dol éventuel devant être retenu. En présence d’informations divergentes, l’intimé aurait dû prendre en compte les informations contenues dans l’acte authentique, lequel avait été expressément requis. Il n’aurait ainsi pas fait ce qui était en son pouvoir pour éviter les conséquences d’une communication par erreur à un tiers d’une information couverte par le secret de fonction. Si C.________ requiert une copie du contrat de vente pour rendre ses décisions, ce serait bien pour avoir l’assurance que les informations en sa possession sont correctes, ceci afin de statuer en toute connaissance de cause. En ayant eu, d’une part, l’information (erronée) de D.________ que la parcelle était exploitée par E.________ et, d’autre part, l’information par l’acte authentique que dite parcelle était libre d’exploitant, l’intimé aurait clairement violé le secret de fonction par dol éventuel; il aurait en effet été impossible qu’il n’ait pas pu envisager le résultat dommageable, en l’occurrence la communication du prix de vente à un tiers; il aurait à tout le moins dû clarifier la situation de fait conformément aux art. 9 et 45 CPJA. Enfin, le Ministère public aurait dû poursuivre ses investigations afin notamment de déterminer pour quelles raisons C.________ n’a pas tenu compte des informations contenues dans l’acte de vente avant d’envoyer indûment des informations couvertes par le secret de fonction à un tiers. b)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w:t>
      </w:r>
    </w:p>
    <w:p>
      <w:r>
        <w:rPr>
          <w:b/>
        </w:rPr>
        <w:t>E. 10</w:t>
      </w:r>
    </w:p>
    <w:p>
      <w:r>
        <w:t>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voir aussi arrêt TF 6B_701/2014 du 14 novembre 2014 consid. 2.1).</w:t>
      </w:r>
    </w:p>
    <w:p>
      <w:r>
        <w:t>Tribunal cantonal TC Page 4 de 5 c) Sur le plan subjectif, une violation de l’art. 320 CP implique que l’auteur agisse intentionnellement ou par dol éventuel, une négligence n’étant pas punissable. Agit intentionnellement quiconque commet un crime ou un délit avec conscience et volonté. L'auteur agit déjà intentionnellement lorsqu'il tient pour possible la réalisation de l'infraction et l'accepte au cas où elle se produirait (art. 12 al. 2 CP). Selon la jurisprudence constante, il y a dol éventuel lorsque l'auteur envisage le résultat dommageable, mais agit néanmoins, s'accommodant de ce résultat pour le cas où il se produirait, même s'il ne le souhaite pas. Pour prouver l'intention, en l'absence d'aveux, le tribunal se basera sur des indices extérieurs et sur les règles de l'expérience qui lui permettront de tirer des conclusions sur le contenu de la pensée de l'auteur à partir des circonstances extérieures. Parmi les éléments extérieurs permettant de décider si l'auteur a agi en s'accommodant du résultat dommageable figurent également la probabilité de la réalisation du risque et la gravité de la violation du devoir de prudence. Plus elles seront élevées et plus sera fondée la conclusion selon laquelle l'auteur s'était accommodé du résultat dommageable (ATF 134 IV 26 consid. 3.2.2). En définitive, il faut que la réalisation du danger soit si vraisemblable que seule l'acceptation de ce résultat par l'auteur puisse expliquer son comportement (arrêt TF 6B_519/2007 du 29 janvier 2008 consid. 3.1). A l'inverse,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ATF 134 IV 26 consid. 3.2.3). d) En l’espèce, nul n’est besoin d’examiner si l’intimé a agi par négligence, cette dernière n’étant de toute manière pas punissable. Se pose dès lors uniquement la question de savoir s’il a commis une violation du secret de fonction par dol éventuel, comme le soutient le recourant. A suivre ce dernier, le président de C.________ aurait eu connaissance des informations divergentes (acte authentique vs renseignement d’un service étatique); au lieu de chercher à clarifier la situation, il aurait notifié la décision à un tiers, s’accommodant du résultat, soit qu’une information confidentielle (le prix de vente) soit révélée. La Chambre de céans ne partage pas ce raisonnement. Rien au dossier ne permet en effet de retenir que l’intimé avait connaissance des divergences, ni qu’il a adopté volontairement le comportement décrit, en tenant pour possible la survenance du résultat, respectivement en s’en accommodant. Le recourant n’apporte pour sa part aucun élément concret permettant de fonder le soupçon d’une infraction pénale, ne serait-ce que sous l’angle du dol éventuel. Afin de pouvoir autoriser F.________ à acquérir l’immeuble, art. ggg RF H.________, propriété du recourant, pour le prix de CHF 42'960.-, il semble en effet évident que C.________ avait besoin d’une copie du contrat de vente, ne serait-ce que pour s’assurer que les indications figurant dans la requête et en particulier le prix (qui ne doit pas être surfait) étaient exacts. Autrement dit, le fait que l’autorité ait requis une copie dudit contrat ne permet pas encore de fonder le soupçon que l’intimé avait connaissance des divergences et qu’il avait accepté, en communiquant la décision à une tierce personne, de violer le secret de fonction auquel il est soumis. C.________ a en outre pris des renseignements auprès de D.________, sur la base du logiciel GELAN (logiciel que le canton de Fribourg exploite en collaboration avec les cantons de Berne et Soleure et qui permet notamment de faire l'inventaire des données agricoles et de les traiter). Ces informations se sont par la suite révélées fausses ou dépassées. C.________ a réagi de suite lorsqu’elle a pris connaissance de l’erreur, a fait part de ses regrets et a procédé à sa rectification. Il apparait ainsi plutôt que cette autorité, respectivement son président n’a pas examiné l’acte de vente sous l’angle du fermage, ce qui explique au demeurant la prise de renseignements à ce sujet auprès de D.________. Dans ces circonstances, s’il ne fait pas de doute qu’une erreur a été commise, il ne fait pas de doute non plus qu’une aucune infraction pénale, ne serait-ce que par dol éventuel, n’a été commise dans le cas d’espèce. Par conséquent,</w:t>
      </w:r>
    </w:p>
    <w:p>
      <w:r>
        <w:t>Tribunal cantonal TC Page 5 de 5 c’est à raison que le Ministère public a refusé d’entrer en matière sur la dénonciation. Le recours doit partant être rejeté. 3. a) Vu l’issue du recours, les frais de la présente procédure, arrêtés à CHF 600.- (émolument: CHF 500.-; débours: 100.-), seront mis à la charge de A.________ (art. 428 al. 1 CPP). b) Aucune indemnité de partie n’est allouée au recourant qui succombe. la Chambre arrête: I. Le recours est rejeté. Partant, l’ordonnance de non-entrée en matière rendue le 23 septembre 2016 par le Ministère public est confirmée. II. Les frais de la procédure de recours, arrêtés à CHF 600.- (émolument: CHF 500.-; débours: 100.-), sont mis à la charge de A.________ et prélevés sur le dépôt effectué. Le solde (CHF 200.-) lui sera restitué dès l’entrée en force du présent arrêt.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décembre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