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243 vom 3. Oktober 2016</w:t>
      </w:r>
    </w:p>
    <w:p>
      <w:r>
        <w:t>FR Kantonsgericht, 2016-10-03, FR</w:t>
      </w:r>
    </w:p>
    <w:p>
      <w:r>
        <w:rPr>
          <w:b/>
        </w:rPr>
        <w:t xml:space="preserve">Quelle: </w:t>
      </w:r>
      <w:r>
        <w:t>https://mcp.opencaselaw.ch/entscheid/fr_gerichte_502_2016_243</w:t>
      </w:r>
    </w:p>
    <w:p>
      <w:r>
        <w:t>FR: FR_GERICHTE 502 2016 243 du 3 octobre 2016</w:t>
      </w:r>
    </w:p>
    <w:p>
      <w:r>
        <w:t>IT: FR_GERICHTE 502 2016 243 del 3 ottobre 2016</w:t>
      </w:r>
    </w:p>
    <w:p>
      <w:pPr>
        <w:pStyle w:val="Heading2"/>
      </w:pPr>
      <w:r>
        <w:t>Regeste</w:t>
      </w:r>
    </w:p>
    <w:p>
      <w:r>
        <w:t>Arrêt de la Chambre pénale du Tribunal cantonal | Strafrecht</w:t>
      </w:r>
    </w:p>
    <w:p>
      <w:pPr>
        <w:pStyle w:val="Heading2"/>
      </w:pPr>
      <w:r>
        <w:t>Erwägungen</w:t>
      </w:r>
    </w:p>
    <w:p>
      <w:r>
        <w:rPr>
          <w:b/>
        </w:rPr>
        <w:t>E. 1</w:t>
      </w:r>
    </w:p>
    <w:p>
      <w:r>
        <w:t>a) Le recours à la Chambre pénale est ouvert contre les décisions et les actes de la procédure de la police et du Ministère public (art. 393 al. 1 let. a CPP et. 85 al. 1 LJ). b) Selon les art. 322 al. 2 et 396 al. 1 CPP, le recours est adressé par écrit, dans le délai de dix jours, à l’autorité de recours. En l'espèce le recours respecte manifestement ce délai. c) En tant que personne touchée par l'acte de procédure attaqué, la recourante a indéniablement qualité pour recourir (art. 382 al. 1 CPP). d) La Chambre statue sans débats (art. 397 al. 1 CPP). e)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w:t>
      </w:r>
    </w:p>
    <w:p>
      <w:r>
        <w:t>Tribunal cantonal TC Page 3 de 4 représentée par un avocat, l’exigence de motivation est respectée si les conclusions peuvent être sans équivoque déduites de la motivation (BSK StPO-ZIEGLER, 2e éd. 2014,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suite à l’indication donnée par l’autorité (DONATSCH/HANSJAKOB/LIEBER, Kommentar zur Schweizerischen Strafprozessordnung (StPO), 2e éd. 2014,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 bb) En l’occurrence, dans l’ordonnance attaquée, le Ministère public a retenu que la notification de l’ordonnance pénale du 19 avril 2016 a été valablement effectuée à l'adresse du destinataire, qu'en ce qui concerne la référence au fait que celui-ci délègue la réception du courrier à un tiers qui ne l'aurait pas transmis, elle doit être considérée comme une requête de restitution du délai, laquelle, selon l'art. 94 CPP, doit être faite dans les 30 jours dès la fin de l'empêchement et moyennant qu'il soit rendu vraisemblable que le retard n'est imputable à aucune faute de sa part, qu'en l'espèce, la structure fonctionnelle de la société condamnée ne peut justifier qu'elle n'agisse pas dans les délais impartis, de sorte que l'empêchement doit lui être imputé. Or l'écriture du 29 août 2016 expose diverses critiques à l'encontre de l'ordonnance pénale du 19 avril 2016, soit qu'un salarié de l'entreprise n'avait pas à se rendre en Suisse avec un véhicule de la société et que le montant de l'amende est élevé par rapport aux normes de son pays, mais elle ne contient aucune argumentation en rapport avec le motif retenu par le Ministère public dans l'ordonnance du 19 août 2016 refusant une restitution du délai pour l'opposition. A défaut d'une telle motivation, l'appel est dès lors manifestement irrecevable. f) Eût-il été recevable que le recours aurait de toute manière dû être rejeté. Les motifs du rejet indiqués dans l'ordonnance sont en effet pertinents. Ils auraient par surcroit même pu être complétés: les oublis d'un auxiliaire du destinataire d'une notification sont imputables à ce dernier et, à supposer qu'il y ait eu un empêchement non fautif chez celui-là, il aurait en l'occurrence incombé à A.________ de l'invoquer et l'établir dans la requête, ce qui n'a nullement été le cas.</w:t>
      </w:r>
    </w:p>
    <w:p>
      <w:r>
        <w:rPr>
          <w:b/>
        </w:rPr>
        <w:t>E. 2</w:t>
      </w:r>
    </w:p>
    <w:p>
      <w:r>
        <w:t>Au vu de l’issue du recours, les frais de la procédure de recours seront mis à la charge de la recourante qui succombe (art. 428 al. 1 CPP; art. 19 du Règlement du 30 novembre 2010 sur la justice).</w:t>
      </w:r>
    </w:p>
    <w:p>
      <w:r>
        <w:t>Tribunal cantonal TC Page 4 de 4 la Chambre arrête: I. Le recours est irrecevable. II. Les frais de la procédure de recours, fixés à CHF 280.- (émolument: CHF 200.-; débours: CHF 80.-),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octobre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