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234 vom 29. September 2016</w:t>
      </w:r>
    </w:p>
    <w:p>
      <w:r>
        <w:t>FR Kantonsgericht, 2016-09-29, FR</w:t>
      </w:r>
    </w:p>
    <w:p>
      <w:r>
        <w:rPr>
          <w:b/>
        </w:rPr>
        <w:t xml:space="preserve">Quelle: </w:t>
      </w:r>
      <w:r>
        <w:t>https://mcp.opencaselaw.ch/entscheid/fr_gerichte_502_2016_234</w:t>
      </w:r>
    </w:p>
    <w:p>
      <w:r>
        <w:t>FR: FR_GERICHTE 502 2016 234 du 29 septembre 2016</w:t>
      </w:r>
    </w:p>
    <w:p>
      <w:r>
        <w:t>IT: FR_GERICHTE 502 2016 234 del 29 settembre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sa requête de défense d’office facultative et gratuite. Il possède dès lors la qualité pour recourir au sens de l’art. 382 al. 1 CPP. b) Le recours a manifestement été déposé dans le délai légal de dix jours. c) Le recours doit être motivé (art. 396 al. 1 CPP) et indiquer précisément les motifs qui commandent une autre décision (art. 385 al. 1 let. b CPP). L’exigence de motivation englobe aussi celle de prendre des conclusions. En l'occurrence même s'il ne comprend pas un énoncé formel de conclusions, le recours indique suffisamment clairement la modification que la partie recourante veut faire apporter à l’ordonnance attaquée et les raisons qui la justifieraient. Cette partie n’étant de plus pas représentée par un avocat, l’exigence de motivation sera considérée comme respectée.</w:t>
      </w:r>
    </w:p>
    <w:p>
      <w:r>
        <w:rPr>
          <w:b/>
        </w:rPr>
        <w:t>E. 2</w:t>
      </w:r>
    </w:p>
    <w:p>
      <w:r>
        <w:t>a) La requête de désignation d'un défenseur d'office a été rejetée au motif que la condition du seuil de gravité de peine encourue n'est manifestement pas réalisée. Pour sa part, le recourant soutient que l'affaire présente une gravité puisque pouvant conduire à une inscription au casier judiciaire et n'étant gérable juridiquement par le recourant lui-même. Il ajoute que son indigence résulte des documents versés au dossier et que son ex-compagne n'a pas le même statut et les mêmes droits que lui. b) aa) A.________ est à la fois prévenu et partie plaignante avec prétentions civiles. bb) Pour un prévenu, en dehors des cas de défense obligatoire (art. 130 CPP), l'art. 132 al. 1 let. b CPP soumet le droit à l'assistance d'un défenseur d'office aux conditions que le prévenu soit indigent et que la sauvegarde de ses intérêts justifie une telle assistance. Selon la jurisprudence,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La désignation d'un défenseur d'office dans une procédure pénale est ainsi notamment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tout état de cause, la jurisprudence impose de se demander si une personne raisonnable et de bonne foi - qui présenterait les mêmes caractéristiques que le requérant mais disposerait de ressources suffisantes - ferait ou non appel à un avocat. Lorsque l'infraction n'est manifestement qu'une bagatelle, en ce sens que son auteur ne s'expose qu'à une amende ou à</w:t>
      </w:r>
    </w:p>
    <w:p>
      <w:r>
        <w:t>Tribunal cantonal TC Page 4 de 4 une peine privative de liberté de courte durée, la jurisprudence considère que l'auteur n'a pas de droit constitutionnel à l'assistance judiciaire (TF arrêt 1B_175/2014 du 06.01.2015 consid. 2.1. et les références citées). cc) S'agissant d'une partie plaignante, l'art. 136 al. 1 CPP dispose que la direction de la procédure accorde entièrement ou partiellement l’assistance judiciaire à la partie plaignante pour lui permettre de faire valoir ses prétentions civiles, aux conditions suivantes: la partie plaignante est indigente et l’action civile ne paraît pas vouée à l’échec. c) En l’espèce, selon le dossier, le recourant ne se trouve pas en situation d'indigence. De janvier à juillet 2016, il a reçu, pour son emploi rétribué à CHF 30.40/h, des salaires dont le total s'élève à CHF 22'194.70 impôt à la source déduit. Etant donné que le mois de janvier a été amputé de vacances de l'ordre de la moitié du mois puisque le salaire brut était de moitié inférieur aux autres, le revenu mensuel moyen a représenté CHF 3'414.50 (22'194.70 : 6.5); rapporté sur un an il peut être estimé à CHF 3'130.- [(3414.50 x 11) : 12]. Après déduction du loyer (1090), de la cotisation de caisse maladie (253), du montant de base du minimum vital élargi de 20 % (1440) et de frais de déplacement estimés à CHF 100.-, il lui reste un disponible mensuel de CHF 247.-. Un tel disponible suffit à rémunérer par acomptes en moins d'un an un avocat dont le coût d'intervention ne devrait pas dépasser CHF 1'000.-. Vu la minceur du dossier et la simplicité des faits, son temps de travail peut en effet être évalué à environ trois heures, soit une heure pour prendre connaissance du dossier, une demi-heure d'entretien avec le recourant, une heure d'audience et une trentaine de minutes d'opérations diverses. Partant, le recours doit être rejeté.</w:t>
      </w:r>
    </w:p>
    <w:p>
      <w:r>
        <w:rPr>
          <w:b/>
        </w:rPr>
        <w:t>E. 3</w:t>
      </w:r>
    </w:p>
    <w:p>
      <w:r>
        <w:t>En application de l’art. 428 al. 1 CPP et vu le sort du recours, les frais y relatifs doivent être mis à la charge du recourant. la Chambre arrête: I. Le recours est rejeté. Partant, l’ordonnance du 6 septembre 2016 est confirmée. II. Les frais de procédure sont fixés à CHF 200.- (émolument: CHF 150.-; débours: CHF 50.-)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