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188 vom 16. August 2016</w:t>
      </w:r>
    </w:p>
    <w:p>
      <w:r>
        <w:t>FR Kantonsgericht, 2016-08-16, FR</w:t>
      </w:r>
    </w:p>
    <w:p>
      <w:r>
        <w:rPr>
          <w:b/>
        </w:rPr>
        <w:t xml:space="preserve">Quelle: </w:t>
      </w:r>
      <w:r>
        <w:t>https://mcp.opencaselaw.ch/entscheid/fr_gerichte_502_2016_188</w:t>
      </w:r>
    </w:p>
    <w:p>
      <w:r>
        <w:t>FR: FR_GERICHTE 502 2016 188 du 16 août 2016</w:t>
      </w:r>
    </w:p>
    <w:p>
      <w:r>
        <w:t>IT: FR_GERICHTE 502 2016 188 del 16 agosto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l'ordonnance ayant été rendue le 28 juillet 2016 et le recours ayant été déposé le 3 août 2016. e) La Chambre jouit d'une pleine cognition, en fait, en droit et en opportunité (art. 393 al. 2 CPP). Elle statue sans débats (art. 397 al. 1 CPP).</w:t>
      </w:r>
    </w:p>
    <w:p>
      <w:r>
        <w:rPr>
          <w:b/>
        </w:rPr>
        <w:t>E. 2</w:t>
      </w:r>
    </w:p>
    <w:p>
      <w:r>
        <w:t>a) 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w:t>
      </w:r>
    </w:p>
    <w:p>
      <w:r>
        <w:t>Tribunal cantonal TC Page 3 de 6 privation de liberté doit être justifiée par les besoins de l'instruction, un risque de fuite ou un danger de collusion ou de réitération (cf. art. 221 al. 1 let. a, b et c CPP). b) Préalablement à l'examen de ces hypothèses, il doit exister à l'égard de l'intéressé des charges suffisantes ou des indices sérieux de culpabilité, c'est-à-dire des raisons plausibles de le soupçonner d'avoir commis une infraction (art. 221 al. 1 CPP; art.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arrêt 1B_22/2016 consid. 2.1). c) En l'espèce, la décision attaquée retient que le prévenu est fortement soupçonné de rixe, éventuellement d’agression et de lésions corporelles simples. Le recourant remet en question la crédibilité du plaignant B.________. Il expose en substance que ce dernier l’a agressé gratuitement le 28 juin 2016, que son éducation ne lui permet pas de commettre des infractions de ce genre, qu’il n’a jamais dit avoir frappé B.________ lors de son audition du 3 juillet 2016, qu’il s’agit d’un malentendu. Il ajoute qu’il n’a pas agressé qui que ce soit le 19 juillet 2016, qu’il ignore pour quelle raison B.________ a donné son nom, qu’il y a de fortes chances que ce dernier se trompe de nom. En ce qui concerne la fuite du 2 juillet 2016, il se serait distancé pour ne pas être impliqué « pour rien »; il avait une position d’observateur et la conscience tranquille, la seule fuite de sa vie ayant été celle de fuir son pays. S’agissant des bagarres du mois de juillet 2016, il dit ne pas être impliqué, détester la violence, mais avoir été témoin par hasard de quelques bagarres vu que lorsqu’il est en ville, il côtoie sa communauté. Dans ses ultimes observations, le recourant expose que l’on est en présence de simples bagarres entre jeunes requérants d’asile désœuvrés, un prétendu mobile politique à ces altercations devant être écarté, n’étant en rien étayé. A elles seules, les lésions corporelles subies par les uns et les autres, qui ne peuvent qu’être qualifiées de simples, ne sauraient justifier une mise en détention provisoire dépassant quelques jours. Enfin, ce serait pure affabulation que de décrire sans indices sérieux le prévenu, majeur depuis un peu plus de 3 mois, comme un véritable chef de guerre. L'argumentation du recourant ne convainc pas et la Chambre fait sienne celle du premier juge qui expose en détail les faits pour lesquels il retient les lourds soupçons (cf. ordonnance, p. 3). En particulier, le recourant n’est pas crédible lorsqu’il affirme qu’il n’a jamais admis avoir frappé B.________ le 2 juillet 2016, respectivement qu’il s’agit d’un malentendu. Il a été auditionné à plusieurs reprises à ce sujet. Le 3 juillet 2016, il a ainsi déclaré ceci: « […] sont venus vers moi et m’ont frappé. Ensuite B.________ est parti en courant et moi je l’ai suivi. Les deux autres sont partis à la course dans une direction inconnue. J’ai pu rattraper B.________ vers le restaurant près de la gare et je l’ai frappé en lui donnant une gifle […] Les bagarres sont fréquentes entre nous à cause de la politique de nos pays. Du reste nous avons déjà eu une altercation mercredi » (pv 03.07.2016). Le 28 juillet 2016, il a reconnu par-devant la Police avec frappé B.________ « avec D.________ et E.________. Je l’ai frappé avec les poings et les pieds » (pv Police 28.07.2016). Le même jour et par-devant le Ministère public cette fois-ci, il a confirmé avoir frappé B.________ le 2 juillet 2016 (« Il allait me frapper, alors je l’ai frappé en premier lorsqu’il s’est avancé vers moi. E.________, D.________ et moi avons frappé B.________. Pour répondre à votre question, moi je l’ai frappé avec la main et les autres l’ont frappé avec les mains aussi » (pv MP 28.07.2016, DO</w:t>
      </w:r>
    </w:p>
    <w:p>
      <w:r>
        <w:t>Tribunal cantonal TC Page 4 de 6 3003). Lors de son audition du 28 juillet 2016 par le Tmc, le recourant a déclaré encore une fois avoir frappé B.________ le 2 juillet 2016. Ce dernier a quant à lui été retrouvé par la police couché sur le sol et saignant de la tête; il a dû être hospitalisé durant plusieurs jours. Dans son recours, le prévenu revient sur ses déclarations et expose nouvellement ceci: « […] par contre ce qui c’est passer, je lui ai crié en disent que pour quel raison vous voulez me frapper? Eloignez de moi, et je lui ai poussé d’une façon « sec » afin que celui-ci puisse comprendre que je ne suis pas d’accord de recevoir des coups, vu le nombre de personne qui ce trouver. J’ai eu très peur, je savais que je ne pouvais rien faire contre ces monstres. Donc, je conteste d’avoir frappés et sur tout avec cailloux et bouteilles […]». Cette version des faits s’éloigne considérablement des déclarations précédentes, lesquelles – hormis celles du 3 juillet 2016 – ont été protocolées avec le concours d’un traducteur officiel, puis signées par le recourant, lequel n’a à ce moment-là apporté aucune correction à ces documents, étant rappelé qu’il était alors assisté d’une avocate. La Chambre relève également que s’agissant des autres événements violents, le prévenu a tenu des propos confus et contradictoires, indiquant tantôt ne pas se souvenir d’avoir été présent, tantôt avoir été présent mais ne pas y avoir participé, exposant qu’il est une victime et que « c’est toujours lui [B.________] qui commence » (pv MP 28.07.2016, DO 3002). A noter que F.________ a admis le 26 juillet 2016 qu’il y a bien deux groupes qui s’affrontent (« Dans le groupe dont je fais partie, il y a E.________, A.________ (le recourant), D.________, G.________, H.________ et I.________. Dans l’autre groupe, il y a B.________, J.________, K.________ […] Il n’y a pas de raison précise à nos différends. Ça a commencé une fois parce que quelqu’un n’a pas dit bonjour, et ensuite c’était parti. Après un groupe va taper un individu, et ensuite celui-ci se venge avec son groupe. Et ça continue comme ça », pv 26.07.2016). Le recourant n’est pas crédible non plus lorsqu’il affirme avoir très peur des autres protagonistes qu’il n’hésite pas à qualifier de monstres et qu’il continue à côtoyer sans autre sa communauté en ville, respectivement à se rendre aux endroits où se déroulent les bagarres et ainsi à prendre précisément le risque d’être exposé à ceux-là. Enfin, ni le MP, ni le Tmc ne se réfèrent à un événement du 19 juillet 2016, de sorte que les griefs y relatifs n’ont pas à être examinés, étant tout de même relevé qu’il ressort des diverses auditions que les protagonistes se connaissent et que le recourant ne convainc pas lorsqu’il affirme que B.________ a dû se tromper de nom. C’est ainsi à juste titre que le Tmc a retenu l’existence de forts soupçons selon l’art. 221 al. 1 CPP.</w:t>
      </w:r>
    </w:p>
    <w:p>
      <w:r>
        <w:rPr>
          <w:b/>
        </w:rPr>
        <w:t>E. 3</w:t>
      </w:r>
    </w:p>
    <w:p>
      <w:r>
        <w:t>a)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1B_20/2016 du</w:t>
      </w:r>
    </w:p>
    <w:p>
      <w:r>
        <w:rPr>
          <w:b/>
        </w:rPr>
        <w:t>E. 4</w:t>
      </w:r>
    </w:p>
    <w:p>
      <w:r>
        <w:t>a) Vu l’issue de la procédure, les frais doivent être mis à la charge du recourant (art. 428 CPP et 35 et 43 RJ). Ils seront fixés à CHF 570.- (émolument: CHF 500.-; débours: CHF 70.-). b) La Chambre pénale arrête elle-même l’indemnité du défenseur d’office pour la procédure de recours selon l’art. 57 al. 1 et 2 RJ (RFJ 2015 73). En l’espèce, pour l’examen du recours et des déterminations ainsi que pour la rédaction des ultimes observations, le temps y relatif peut être estimé au vu du dossier à environ 3 heures de travail avec quelques autres petites opérations et les débours, au tarif-horaire de CHF 180.-. L’indemnité sera dès lors fixée à CHF 600.-, débours compris mais TVA (8 %) par CHF 48.- en sus (cf. art. 56 ss RJ).</w:t>
      </w:r>
    </w:p>
    <w:p>
      <w:r>
        <w:t>Tribunal cantonal TC Page 6 de 6 la Chambre arrête: I. Le recours du 3 août 2016 est rejeté. Partant, la décision du 28 juillet 2016 ordonnant le placement de A.________ en détention provisoire pour une durée de deux mois, soit jusqu’au 26 septembre 2016, est confirmée. II. L’indemnité due pour la procédure de recours à Me Dominique Morard, défenseur d’office, est fixée à CHF 648.-, TVA incluse. III. Les frais, fixés à CHF 1'218.- (émolument: CHF 500.-; débours: CHF 70.-; frais de défense d'office: CHF 648.-),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août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