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179 vom 28. Oktober 2016</w:t>
      </w:r>
    </w:p>
    <w:p>
      <w:r>
        <w:t>FR Kantonsgericht, 2016-10-28, FR</w:t>
      </w:r>
    </w:p>
    <w:p>
      <w:r>
        <w:rPr>
          <w:b/>
        </w:rPr>
        <w:t xml:space="preserve">Quelle: </w:t>
      </w:r>
      <w:r>
        <w:t>https://mcp.opencaselaw.ch/entscheid/fr_gerichte_502_2016_179</w:t>
      </w:r>
    </w:p>
    <w:p>
      <w:r>
        <w:t>FR: FR_GERICHTE 502 2016 179 du 28 octobre 2016</w:t>
      </w:r>
    </w:p>
    <w:p>
      <w:r>
        <w:t>IT: FR_GERICHTE 502 2016 179 del 28 ottobre 2016</w:t>
      </w:r>
    </w:p>
    <w:p>
      <w:pPr>
        <w:pStyle w:val="Heading2"/>
      </w:pPr>
      <w:r>
        <w:t>Regeste</w:t>
      </w:r>
    </w:p>
    <w:p>
      <w:r>
        <w:t>Arrêt de la Chambre pénale du Tribunal cantonal | Nichtanhandnahme (Art. 310 StPO)</w:t>
      </w:r>
    </w:p>
    <w:p>
      <w:pPr>
        <w:pStyle w:val="Heading2"/>
      </w:pPr>
      <w:r>
        <w:t>Erwägungen</w:t>
      </w:r>
    </w:p>
    <w:p>
      <w:r>
        <w:rPr>
          <w:b/>
        </w:rPr>
        <w:t>E. 2</w:t>
      </w:r>
    </w:p>
    <w:p>
      <w:r>
        <w:t>a) Le recourant s'en prend au refus d'une restitution de délai. b) aa) La lettre-ordonnance attaquée n'a qu'un contenu des plus sommaires. Il semble toutefois en ressortir que le Ministère public a constaté que l'opposition était tardive. bb) La question de la restitution du délai d'opposition contre une ordonnance pénale ne se pose que si l'intéressé a été empêché de l'observer. Cela présuppose que le délai d'opposition a expiré avant que l'opposition ne soit formée. Cela présuppose à son tour que l'ordonnance ait été valablement notifiée ou réputée notifiée (cf. art. 85 CPP). La question de savoir si la notification était valable ne peut être tranchée par le ministère public à titre préalable dans le cadre de la procédure de restitution de délai prévue par l'art. 94 CPP. Elle doit l'être par le tribunal de première instance dans le cadre de la procédure d'opposition prévue par l'art. 356 al. 2 CPP (ATF 140 IV 192 consid. 1.3; arrêts 6B_1118/2015 du 30 juin 2016 consid. 1.1 et 6B_175/2016 du 2 mai 2016 destiné à la publication, consid. 2 et les références citées). cc) Au vu de ce qui précède, le Ministère public aurait dû suspendre la procédure de restitution du délai jusqu'à ce que le Juge de police ait statué sur la validité de l'opposition qui paraissait avoir été formée en date du 3 juin 2016 et donc sur la question litigieuse de savoir si l'ordonnance pénale devait être considérée comme valablement notifiée. Cela était d'autant plus nécessaire que cette validité de notification ne pouvait être considérée comme manifeste. En effet, le deuxième Protocole additionnel à la Convention européenne d’entraide judiciaire en matière pénale, entré en vigueur en Suisse le 1er février 2005 et en France le 1er juin 2012 (RS 0.351.12), prévoit que les autorités judiciaires compétentes de toute Partie</w:t>
      </w:r>
    </w:p>
    <w:p>
      <w:r>
        <w:t>Tribunal cantonal TC Page 4 de 4 peuvent envoyer directement, par voie postale, des actes de procédure et des décisions judiciaires aux personnes qui se trouvent sur le territoire de toute autre Partie (art. 16 al. 1). La Convention précitée (RS 0.351.1) indique que la remise des actes de procédure et des décisions judiciaires se fait au moyen d’un récépissé daté et signé par le destinataire ou d’une déclaration de la Partie constatant le fait, la forme et la date de la remise (art. 7 al. 2 1e phr.). Quant à la loi fédérale sur l’entraide internationale en matière pénale (EIMP; RS 351.1), elle prévoit, s’agissant de la notification de documents requise des autorités suisses, que celle-ci est réputée exécutée si l’acceptation ou le refus de l’acte est confirmé par écrit. Or en l'espèce, au vu des circonstances décrites par le Ministère public lui-même dans sa lettre du 27 septembre 2016 et du fait que le prévenu est un ressortissant français, qui circulait avec un véhicule immatriculé en France et qui paraît avoir un domicile en ce pays depuis plusieurs mois en tous cas, la question d'une notification valide doit être examinée par l'autorité compétente, qui n'est pas le Ministère public. dd) Le recours doit dès lors être admis, l'ordonnance attaquée annulée et la cause renvoyée au Ministère public pour qu'il suspende la cause jusqu'à ce que le tribunal de première instance ait statué sur la validité de l'opposition et qu'il transmette dite opposition à cette autorité pour décision.</w:t>
      </w:r>
    </w:p>
    <w:p>
      <w:r>
        <w:rPr>
          <w:b/>
        </w:rPr>
        <w:t>E. 3</w:t>
      </w:r>
    </w:p>
    <w:p>
      <w:r>
        <w:t>Vu l’issue du recours, les frais de procédure seront laissés à la charge de l’Etat. la Chambre arrête: I. Le recours est admis. Partant, l’ordonnance du Ministère public du 8 juillet 2016 est annulée et la cause renvoyée à cette autorité pour suite de la procédure conformément aux considérants. II. Les frais de la procédure de recours sont fixés à CHF 600.- (émolument: CHF 500.-; débours: CHF 100.-) et sont mis à la charge de l’Etat. III.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28 octobre 2016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