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151 vom 30. Juni 2016</w:t>
      </w:r>
    </w:p>
    <w:p>
      <w:r>
        <w:t>FR Kantonsgericht, 2016-06-30, FR</w:t>
      </w:r>
    </w:p>
    <w:p>
      <w:r>
        <w:rPr>
          <w:b/>
        </w:rPr>
        <w:t xml:space="preserve">Quelle: </w:t>
      </w:r>
      <w:r>
        <w:t>https://mcp.opencaselaw.ch/entscheid/fr_gerichte_502_2016_151</w:t>
      </w:r>
    </w:p>
    <w:p>
      <w:r>
        <w:t>FR: FR_GERICHTE 502 2016 151 du 30 juin 2016</w:t>
      </w:r>
    </w:p>
    <w:p>
      <w:r>
        <w:t>IT: FR_GERICHTE 502 2016 151 del 30 giugno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à une date qui ne ressort pas du dossier. Compte tenu cependant de ce qui est exposé ci-après, la question du respect du délai n'est pas importante. c) La qualité pour recourir n'est pas contestable. d) La Chambre statue sans débats (art. 397 al. 1 CPP). e) aa)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w:t>
      </w:r>
    </w:p>
    <w:p>
      <w:r>
        <w:t>Tribunal cantonal TC Page 3 de 4 toujours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CPP n. 4). bb) En l'occurrence, l'ordonnance attaquée est motivée, pour la tentative d'escroquerie, le faux dans les titres et les fausses déclarations en justice, par l'absence de moyens de preuve permettant de soutenir les allégations du plaignant qui tendent par ailleurs à l'inintelligibilité, l'absence d'éléments montrant une astuce dans une tentative d'enrichissement, par le fait que le document contesté est un original et par le fait qu'il n'a pas pu être établi que les signatures y figurant auraient été contrefaites. Pour la diffamation, elle est motivée par le constat que les accusations ne trouvent aucun écho dans le dossier et par le non respect du délai de plainte pour des faits datant de 2009. Dans son recours, dont le texte n'est souvent guère plus compréhensible que les précédents, le recourant se contente de réitérer son accusation de faux document, d'accumuler des demandes, notamment que la procédure soit revue en entier, que soient produits des documents qui figurent déjà au dossier et que des lois soient appliquées. Mais à aucun moment il ne tente de démontrer que chacun des motifs exposés dans l'ordonnance de manière claire et individualisée serait erroné, ni que tel ou tel passage d'un document déterminé serait en réalité constitutif d'une atteinte à l'honneur. Il ne tente pas non plus de démontrer que le Ministère public aurait perdu de vue qu'il aurait formulé d'autres reproches que ce qui est évoqué dans l'ordonnance attaquée et dans quelle mesure ceux-là aussi seraient constitutifs d'une infraction pénale. En l'absence même d’un début de critique spécifique aux motifs retenus dans l'ordonnance attaquée, il n’y a pas lieu d'offrir la possibilité de compléter la motivation. Partant, le recours doit être déclaré irrecevable faute de motivation.</w:t>
      </w:r>
    </w:p>
    <w:p>
      <w:r>
        <w:rPr>
          <w:b/>
        </w:rPr>
        <w:t>E. 2</w:t>
      </w:r>
    </w:p>
    <w:p>
      <w:r>
        <w:t>a) Au vu de l’issue du recours, les frais de la procédure de recours, fixés à CHF 470.- (émolument: CHF 400.-; débours: CHF 70.-), seront mis à la charge du recourant qui succombe (art. 428 al. 1 CPP; art. 19 du Règlement du 30 novembre 2010 sur la justice). b) Aucune indemnité de partie n’est allouée au recourant qui succombe. (dispositif en page suivante)</w:t>
      </w:r>
    </w:p>
    <w:p>
      <w:r>
        <w:t>Tribunal cantonal TC Page 4 de 4 la Chambre arrête: I. Le recours est irrecevable. II. Les frais de la procédure de recours, fixés à CHF 470.- (émolument: CHF 400.-; débours: CHF 70.-),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juin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