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133 vom 6. Juni 2016</w:t>
      </w:r>
    </w:p>
    <w:p>
      <w:r>
        <w:t>FR Kantonsgericht, 2016-06-06, FR</w:t>
      </w:r>
    </w:p>
    <w:p>
      <w:r>
        <w:rPr>
          <w:b/>
        </w:rPr>
        <w:t xml:space="preserve">Quelle: </w:t>
      </w:r>
      <w:r>
        <w:t>https://mcp.opencaselaw.ch/entscheid/fr_gerichte_502_2016_133</w:t>
      </w:r>
    </w:p>
    <w:p>
      <w:r>
        <w:t>FR: FR_GERICHTE 502 2016 133 du 6 juin 2016</w:t>
      </w:r>
    </w:p>
    <w:p>
      <w:r>
        <w:t>IT: FR_GERICHTE 502 2016 133 del 6 giugno 2016</w:t>
      </w:r>
    </w:p>
    <w:p>
      <w:pPr>
        <w:pStyle w:val="Heading2"/>
      </w:pPr>
      <w:r>
        <w:t>Regeste</w:t>
      </w:r>
    </w:p>
    <w:p>
      <w:r>
        <w:t>Arrêt de la Chambre pénale du Tribunal cantonal | Nichtanhandnahme (Art. 310 StPO)</w:t>
      </w:r>
    </w:p>
    <w:p>
      <w:pPr>
        <w:pStyle w:val="Heading2"/>
      </w:pPr>
      <w:r>
        <w:t>Erwägungen</w:t>
      </w:r>
    </w:p>
    <w:p>
      <w:r>
        <w:rPr>
          <w:b/>
        </w:rPr>
        <w:t>E. 1</w:t>
      </w:r>
    </w:p>
    <w:p>
      <w:r>
        <w:t>a) La voie du recours devant la Chambre pénale du Tribunal cantonal est ouverte contre une ordonnance de non-entrée en matière (art. 310 al. 2, 322 al. 2 et 393 al. 1 let. a du Code de procédure pénale suisse du 5 octobre 2007 [CPP], art. 64 let. c et 85 al. 1 de la Loi du 31 mai 2010 sur la justice [LJ]). Aux termes de l’art. 395 let. b CPP, si l'autorité de recours est un tribunal collégial, sa direction de la procédure statue seule sur le recours lorsqu'il porte sur les conséquences économiques accessoires d'une décision et que le montant litigieux n'excède pas CHF 5000.-. En l’espèce, le recourant conteste uniquement la mise à sa charge des frais de procédure fixés à CHF 195.-, de sorte que le Juge délégué statuera seul. b) Déposé le 1er juin 2016 à un office postal, le recours interjeté contre l’ordonnance notifiée le 25 mai 2016 respecte à l’évidence le délai de recours de dix jours (art. 322 al 2 et 396 al. 1 CPP). c) Les frais ayant été mis à sa charge, A.________ dispose de la qualité pour recourir (art. 382 al. 1 CPP).</w:t>
      </w:r>
    </w:p>
    <w:p>
      <w:r>
        <w:rPr>
          <w:b/>
        </w:rPr>
        <w:t>E. 2</w:t>
      </w:r>
    </w:p>
    <w:p>
      <w:r>
        <w:t>Le recourant s’interroge sur les raisons pour lesquelles les frais de la procédure ont été mis à sa charge. Cela est compréhensible dès lors que la décision querellée ne contient aucune indication, même brève comme par exemple la mention d’une disposition légale, sur les motifs qui ont amené le Ministère public à mettre les frais à sa charge contrairement à la règle générale qui veut que les frais de la procédure sont mis à la charge du canton qui a conduit la procédure (art. 423 al. 1 CPP). Ce faisant, l’autorité intimée a manifestement violé le droit d'être entendu consacré par l'art. 29 al. 2 Cst. qui l'oblige à motiver ses décisions (ATF 133 III 439 consid. 3.3 et les références citées). Le recours doit dès lors être admis et la cause renvoyée au Ministère public pour nouvelle décision sur ce point (art. 397 al. 2 in fine CPP).</w:t>
      </w:r>
    </w:p>
    <w:p>
      <w:r>
        <w:t>Tribunal cantonal TC Page 3 de 3 le Vice-Président arrête: I. Le recours est admis. Partant, le chiffre 3 du dispositif de l’ordonnance de non-entrée en matière du 19 mai 2016 concernant le dossier F 16 2940 est annulé et la cause renvoyée au Ministère public pour nouvelle décision sur ce point. II. Les frais de procédure sont mis à la charge de l'Etat. Ils sont fixés à CHF 250.- (émolument: CHF 200.-; débours: CHF 50.-). III. Communication.</w:t>
      </w:r>
    </w:p>
    <w:p>
      <w:r>
        <w:t>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juin 2016/jde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