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96 vom 9. Juni 2015</w:t>
      </w:r>
    </w:p>
    <w:p>
      <w:r>
        <w:t>FR Kantonsgericht, 2015-06-09, FR</w:t>
      </w:r>
    </w:p>
    <w:p>
      <w:r>
        <w:rPr>
          <w:b/>
        </w:rPr>
        <w:t xml:space="preserve">Quelle: </w:t>
      </w:r>
      <w:r>
        <w:t>https://mcp.opencaselaw.ch/entscheid/fr_gerichte_502_2015_96</w:t>
      </w:r>
    </w:p>
    <w:p>
      <w:r>
        <w:t>FR: FR_GERICHTE 502 2015 96 du 9 juin 2015</w:t>
      </w:r>
    </w:p>
    <w:p>
      <w:r>
        <w:t>IT: FR_GERICHTE 502 2015 96 del 9 giugno 2015</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2015 96 Arrêt du 9 juin 2015 Chambre pénale Composition Président: Roland Henninger Juges: Hubert Bugnon, Jérôme Delabays Greffier: Alexandre Reymond Parties A.________, plaignant et recourant contre B.________, intimée Objet Non-entrée en matière (art. 310 CPP) Recours du 15 avril 2015 contre l’ordonnance de non-entrée en matière du Tribunal pénal des mineurs du 1er avril 2015</w:t>
      </w:r>
    </w:p>
    <w:p>
      <w:r>
        <w:t>Tribunal cantonal TC Page 2 de 2 attendu qu’en date du 14 juin 2014, A.________ a déposé plainte pénale contre B.________ (mineure) pour abus de confiance et que par ordonnance du 1er avril 2015, la Juge des mineurs a renoncé à ouvrir la poursuite pénale contre l’intimée ; que le délai de recours est de dix jours (art. 39 PPMin et 396 CPP), que selon l’art. 3 al. 1 PPMin, le Code de procédure pénale est applicable à la procédure pénale des mineurs, sous réserve de dispositions particulières et que selon l’art. 89 al. 2 CPP, la procédure pénale ne connaît pas de féries judiciaires ; que la décision querellée a été notifiée au recourant le 2 avril 2015 ; que partant, le délai de recours échoyait le lundi 13 avril 2015; que le recours a été déposé le 15 avril 2015 (date du cachet postal) ; que partant, ledit recours est tardif ; que le Président de la Chambre de céans a imparti au recourant un délai échéant le 18 mai 2015 pour se déterminer et que ce dernier n’a pas communiqué d’observations ; que par conséquent, le recours doit être déclaré irrecevable; que selon l’art. 428 al. 1 CPP, les frais de la procédure de recours, par 269 francs (émolument : 200 francs ; débours : 69 francs), seront mis à la charge du recourant ; la Chambre arrête: I. Le recours est irrecevable. II. Les frais de la procédure de recours, fixés à 269 fr.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juin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