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94 vom 12. August 2015</w:t>
      </w:r>
    </w:p>
    <w:p>
      <w:r>
        <w:t>FR Kantonsgericht, 2015-08-12, FR</w:t>
      </w:r>
    </w:p>
    <w:p>
      <w:r>
        <w:rPr>
          <w:b/>
        </w:rPr>
        <w:t xml:space="preserve">Quelle: </w:t>
      </w:r>
      <w:r>
        <w:t>https://mcp.opencaselaw.ch/entscheid/fr_gerichte_502_2015_94</w:t>
      </w:r>
    </w:p>
    <w:p>
      <w:r>
        <w:t>FR: FR_GERICHTE 502 2015 94 du 12 août 2015</w:t>
      </w:r>
    </w:p>
    <w:p>
      <w:r>
        <w:t>IT: FR_GERICHTE 502 2015 94 del 12 agosto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w:t>
      </w:r>
    </w:p>
    <w:p>
      <w:r>
        <w:rPr>
          <w:b/>
        </w:rPr>
        <w:t>E. 5</w:t>
      </w:r>
    </w:p>
    <w:p>
      <w:r>
        <w:t>octobre 2007 [CPP; RS 312.0] et 85 al. 1 de la loi du 31 mai 2010 sur la justice [LJ; RSF 130.1], la voie du recours à la Chambre pénale est ouverte contre une ordonnance de non-entrée en matière. b) Selon les art. 322 al. 2 et 396 al. 1 CPP, le recours est adressé par écrit, dans le délai de dix jours, à l’autorité de recours. L’ordonnance querellée a été notifiée à la recourante le 20 avril 2015, si bien que le mémoire de recours, posté le 29 avril 2015, a été adressé à l’autorité en temps utile. c) A.________, comme partie plaignante, dispose de la qualité pour recourir (art. 382 CPP en relation avec l’art. 104 al. 1 let. b CPP). d) Le recours motivé et doté de conclusions est dès lors formellement recevable (art. 396 al. 1 et 385 al. 1 CPP). e) La Chambre statue sans débats (art. 397 al. 1 CPP). 2. a) Ensuite du retrait par A.________ de sa plainte pénale à l’encontre de C.________, le Ministère public a prononcé une ordonnance de non-entrée en matière en faveur de B.________, retenant que « du fait que B.________ a assisté à la séance de conciliation et que les parties ont convenu de mettre les frais de justice à la charge de cette dernière et de sa fille, il y a lieu de considérer que le retrait de plainte vaut également pour B.________ ». b) La recourante conteste cette ordonnance et requiert que la procédure pénale à l’encontre de B.________ soit poursuivie. Elle allègue qu’elle n’a retiré que sa plainte pénale à l’encontre de C.________ et non celle qu’elle a introduite contre sa mère, sa tentative de conciliation avec B.________ ayant échoué. Elle soutient ne jamais avoir été informée du fait que B.________ bénéficierait également du retrait de plainte contre sa fille. c) Il ne ressort effectivement pas du dossier que A.________ a déclaré retirer sa plainte contre B.________. Dans sa détermination sur le recours du 7 mai 2015, le Ministère public a indiqué que les intentions de la plaignante avaient manifestement mal été interprétées de sorte qu’il allait reprendre l’instruction de la cause. A.________ pouvait du reste parfaitement renoncer à poursuivre la mineure mais maintenir ses doléances contre la mère. L’art. 33 al. 3 CP ne s’y oppose pas en l’espèce, la mère et la fille n’ayant pas procédé conjointement mais ayant chacune adressé des sms à A.________ (avis de dénonciation p. 2). Compte tenu de ce qui précède, le recours doit être admis et l’ordonnance de non-entrée en matière du 17 avril 2015 annulée, les frais de la procédure de recours, par CHF 209.- (émolument: CHF 100.-; débours: CHF 109.-), étant mis à la charge de l’État. (dispositif en page suivante)</w:t>
      </w:r>
    </w:p>
    <w:p>
      <w:r>
        <w:t>Tribunal cantonal TC Page 4 de 4 la Chambre arrête: I. Le recours est admis. Partant, l’ordonnance de non-entrée en matière du Ministère public du 17 avril 2015 est annulée. II. Les frais de la procédure de recours, fixés à CHF 209.-, sont laissés à la charge de l’État.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août 2015/sma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