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65 vom 15. April 2015</w:t>
      </w:r>
    </w:p>
    <w:p>
      <w:r>
        <w:t>FR Kantonsgericht, 2015-04-15, FR</w:t>
      </w:r>
    </w:p>
    <w:p>
      <w:r>
        <w:rPr>
          <w:b/>
        </w:rPr>
        <w:t xml:space="preserve">Quelle: </w:t>
      </w:r>
      <w:r>
        <w:t>https://mcp.opencaselaw.ch/entscheid/fr_gerichte_502_2015_65</w:t>
      </w:r>
    </w:p>
    <w:p>
      <w:r>
        <w:t>FR: FR_GERICHTE 502 2015 65 du 15 avril 2015</w:t>
      </w:r>
    </w:p>
    <w:p>
      <w:r>
        <w:t>IT: FR_GERICHTE 502 2015 65 del 15 aprile 2015</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et 393 al. 1 let. a du code de procédure pénale suisse du 5 octobre 2007 (ci-après: CPP), ainsi que de l’art. 85 al. 1 de la loi du 31 mai 2010 sur la justice, la voie du recours à la Chambre pénale est ouverte contre une ordonnance de non-entrée en matière. Le délai de dix jours des art. 322 al. 2 et 396 al. 1 CPP a été indéniablement respecté. A.________ a par ailleurs indubitablement qualité pour agir. S’agissant de l’exigence de motivation (art. 396 al. 1 CPP), il peut être admis qu’elle est remplie en l’espèce, dès lors qu’on comprend pourquoi A.________ s’oppose à la décision du 18 mars 2015. b) La Chambre statue par ailleurs sans débats (art. 397 al. 1 CPP).</w:t>
      </w:r>
    </w:p>
    <w:p>
      <w:r>
        <w:rPr>
          <w:b/>
        </w:rPr>
        <w:t>E. 2</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w:t>
      </w:r>
    </w:p>
    <w:p>
      <w:r>
        <w:t>Tribunal cantonal TC Page 3 de 4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(TF arrêt 6B_830/2013 du 10 décembre 2013 consid. 1.4; arrêt 502 2014 217 du 12 décembre 2014 de la Chambre pénale consid. 2a).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(TF arrêt 6B_701/2014 du 14 novembre 2014 consid. 2.1; ATF 138 IV 86 consid. 4.1.2; 137 IV 285 consid. 2.5). Une non-entrée en matière s'impose lorsque le litige est de nature purement civile (ATF 137 IV 285 consid. 2.3).</w:t>
      </w:r>
    </w:p>
    <w:p>
      <w:r>
        <w:rPr>
          <w:b/>
        </w:rPr>
        <w:t>E. 3</w:t>
      </w:r>
    </w:p>
    <w:p>
      <w:r>
        <w:t>a) En l’espèce, dans son recours, A.________ se plaint essentiellement du fait que B.________ n’ait pas été puni pour s’être introduit dans son appartement sans son accord et contre l’avis de C.________. La violation de domicile (art. 186 du Code pénal [CP]) n’est toutefois punissable que sur plainte. Or, le 17 décembre 2014, A.________ n’a déposé plainte pénale que pour les dégâts causés à ses objets, non pour le fait que B.________ serait entré sans droit dans son appartement. Cela ressort très clairement du dossier (p. 8). Le délai de trois mois (art. 31 CP) est par ailleurs désormais écoulé. Ce grief doit partant être rejeté. b) S’agissant des objets endommagés, soit la bouilloire et la chaîne stéréo, il convient de noter ce qui suit: comme l’a relevé le Ministère public, l’infraction de dommage à la propriété (art. 144 CP) est intentionnelle. En d’autres termes, celui qui endommage un objet par inadvertance, sans le vouloir, n’est pas pénalement punissable. Il ne pourra être condamné qu’à des dommages- intérêts, mais non à une peine. En l’espèce, s’agissant de la bouilloire, c’est avec raison que l’autorité intimée a retenu que la volonté de l’endommager ne pourrait être prouvée sur le vu des propos contradictoires de protagonistes. B.________ n’a en effet pas reconnu, lorsqu’il a été entendu par la police, avoir volontairement cassé cet objet. En ce qui concerne la chaîne stéréo, que B.________ n’a pas reconnu avoir endommagée lors de l’audition précitée, rien au dossier ne prouve ces dégâts. A.________ n’a en particulier fourni aucune photographie ou constat démontrant un dommage, étant précisé qu’un tel élément fourni des mois après l’altercation ne serait plus pertinent. Il n’a pas articulé le moindre montant en réparation et a même renoncé à faire valoir des prétentions civiles. Dans ces conditions, il n’y a pas d’autre choix que de confirmer la non-entrée en matière prononcée le 18 mars 2015.</w:t>
      </w:r>
    </w:p>
    <w:p>
      <w:r>
        <w:rPr>
          <w:b/>
        </w:rPr>
        <w:t>E. 4</w:t>
      </w:r>
    </w:p>
    <w:p>
      <w:r>
        <w:t>Les frais de la procédure de recours, fixés à 278 francs (émolument: 200 francs; débours: 78 francs), seront mis à la charge du recourant qui succombe (art. 428 al. 1 CPP; art. 19 du règlement du 30 novembre 2010 sur la justice).</w:t>
      </w:r>
    </w:p>
    <w:p>
      <w:r>
        <w:t>Tribunal cantonal TC Page 4 de 4 la Chambre arrête: I. Le recours est rejeté. Partant, l’ordonnance de non-entrée en matière prononcée par le Ministère public le 18 mars 2015 est confirmée. II. Les frais de la procédure de recours, fixés à 278 francs, sont mis à la charge de A.________.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15 avril 2015/jde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