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175 vom 23. Oktober 2015</w:t>
      </w:r>
    </w:p>
    <w:p>
      <w:r>
        <w:t>FR Kantonsgericht, 2015-10-23, FR</w:t>
      </w:r>
    </w:p>
    <w:p>
      <w:r>
        <w:rPr>
          <w:b/>
        </w:rPr>
        <w:t xml:space="preserve">Quelle: </w:t>
      </w:r>
      <w:r>
        <w:t>https://mcp.opencaselaw.ch/entscheid/fr_gerichte_502_2015_175</w:t>
      </w:r>
    </w:p>
    <w:p>
      <w:r>
        <w:t>FR: FR_GERICHTE 502 2015 175 du 23 octobre 2015</w:t>
      </w:r>
    </w:p>
    <w:p>
      <w:r>
        <w:t>IT: FR_GERICHTE 502 2015 175 del 23 ottobre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Le délai de recours est de dix jours (art. 322 al. 2 et 396 al. 1 CPP). Son respect ne peut être que présumé vu que l’ordonnance querellée a été adressée le 1er juillet 2015 sous pli simple. b) L’ordonnance querellée prononce la non-entrée en matière sur les faits objets de la plainte pénale. Le recourant étant la partie plaignante, il est directement touché par cette décision et a la qualité pour recourir (art. 104 al. 1 let. b et 382 al. 1 CPP). c) Le recours doit être motivé (art. 396 al. 1 CPP) et indiquer précisément les motifs qui commandent une autre décision (art. 385 al. 1 let. b CPP). L’exigence de motivation englobe aussi celle de prendre des conclusions. En l'occurrence, le recours est très sommaire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Par conséquent, le recours est recevable en la forme.</w:t>
      </w:r>
    </w:p>
    <w:p>
      <w:r>
        <w:rPr>
          <w:b/>
        </w:rPr>
        <w:t>E. 2</w:t>
      </w:r>
    </w:p>
    <w:p>
      <w:r>
        <w:t>a) Dans le cadre de son recours, le recourant soutient que sa plainte est recevable et cite les art. 237, 238 et 239 CP. Le recourant entend ainsi vraisemblablement démontrer que sa plainte pénale relève du droit pénal contrairement à ce qui a été retenu dans l’ordonnance attaquée. b) Les articles cités par le recourant figurent dans le titre 9 du code pénal relatif aux crimes et délits contre les communications publiques. Les art. 237 et 238 CP qui traitent d’entrave à la</w:t>
      </w:r>
    </w:p>
    <w:p>
      <w:r>
        <w:t>Tribunal cantonal TC Page 3 de 3 circulation publique et au service de chemins de fer ne sont manifestement pas applicables en l’espèce car le recourant reproche au service social de B.________ la rétention abusive et la perte de son courrier. L’art. 239 ch. 1 CP qui condamne celui qui aura empêché, troublé ou mis en danger l’exploitation d’une entreprise publique de transports ou de communications, notamment celle des chemins de fer, des postes, du télégraphe ou du téléphone n’est également pas applicable. En effet, le dit service n’a pas empêché, troublé ou mis en danger l’exploitation de la poste mais, selon le recourant, ne lui aurait pas remis son courrier, ne l’aurait pas expédié ou l’aurait fait avec du retard. Il s’agirait donc d’un problème interne à B.________ qui est régi par le droit administratif et non le droit pénal. c) Il s’en suit le rejet du recours et la confirmation de l’ordonnance attaquée.</w:t>
      </w:r>
    </w:p>
    <w:p>
      <w:r>
        <w:rPr>
          <w:b/>
        </w:rPr>
        <w:t>E. 3</w:t>
      </w:r>
    </w:p>
    <w:p>
      <w:r>
        <w:t>Vu le sort du recours, les frais de procédure doivent être mis à la charge du recourant (art. 428 al. 1 CPP; art. 33 ss RJ). la Chambre arrête: I. Le recours est rejeté. Partant, l’ordonnance de non-entrée en matière du 1er juillet 2015 est confirmée. II. Les frais judiciaires de recours sont fixés à CHF 290.-. (émolument: CHF 200.-; débours: CHF 90.-).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octobre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