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 vom 3. Februar 2015</w:t>
      </w:r>
    </w:p>
    <w:p>
      <w:r>
        <w:t>FR Kantonsgericht, 2015-02-03, FR</w:t>
      </w:r>
    </w:p>
    <w:p>
      <w:r>
        <w:rPr>
          <w:b/>
        </w:rPr>
        <w:t xml:space="preserve">Quelle: </w:t>
      </w:r>
      <w:r>
        <w:t>https://mcp.opencaselaw.ch/entscheid/fr_gerichte_502_2015_16</w:t>
      </w:r>
    </w:p>
    <w:p>
      <w:r>
        <w:t>FR: FR_GERICHTE 502 2015 16 du 3 février 2015</w:t>
      </w:r>
    </w:p>
    <w:p>
      <w:r>
        <w:t>IT: FR_GERICHTE 502 2015 16 del 3 febbraio 2015</w:t>
      </w:r>
    </w:p>
    <w:p>
      <w:pPr>
        <w:pStyle w:val="Heading2"/>
      </w:pPr>
      <w:r>
        <w:t>Regeste</w:t>
      </w:r>
    </w:p>
    <w:p>
      <w:r>
        <w:t>Arrêt de la Chambre pénale du Tribunal cantonal | Nichtanhandnahme (Art. 310 StPO)</w:t>
      </w:r>
    </w:p>
    <w:p>
      <w:pPr>
        <w:pStyle w:val="Heading2"/>
      </w:pPr>
      <w:r>
        <w:t>Erwägungen</w:t>
      </w:r>
    </w:p>
    <w:p>
      <w:r>
        <w:rPr>
          <w:b/>
        </w:rPr>
        <w:t>E. 1</w:t>
      </w:r>
    </w:p>
    <w:p>
      <w:r>
        <w:t>a) L'envoi du recourant porte la mention "Opposition". Un désaccord de la partie plaignante contre une ordonnance de non-entrée en matière ne peut s'exprimer que dans un recours, comme cela a été correctement mentionné en fin de la décision attaquée. Il en irait au demeurant de même si l'ordonnance attaquée avait été intitulée ordonnance de classement étant donné que B.________ a été formellement entendue en qualité de prévenue. Quoi qu'il en soit, le recourant n'est en rien touché par cette désignation. b) En application des art. 310 al. 2, 322 al. 2 CPP et 85 al. 1 LJ, la voie du recours à la Chambre pénale est ouverte contre une ordonnance de non-entrée en matière. Le délai de recours est de dix jours (art. 322 al. 2 et 396 al. 1 CPP), son respect ne paraît pas contestable en l’espèce en comparant la date de l'ordonnance à celle de l'envoi du recours. c) aa)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CPP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w:t>
      </w:r>
    </w:p>
    <w:p>
      <w:r>
        <w:t>Tribunal cantonal TC Page 3 de 3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 Aufl. 2014,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2. Aufl. 2014, Art. 385 N 4; DONATSCH/ HANSJAKOB/LIEBER, Kommentar zur Schweizerischen Strafprozessordnung (StPO), 2. Aufl. 2014, Art. 385 N 3, et réf.). bb) En l'espèce, comme déjà indiqué, le recourant s'est contenté de tirer deux traits au travers de l'ordonnance et d'y mentionner "OPPOSITION TOTALE" avec date et signature. Manifestement cela ne constitue même pas l'entame d'une critique des motifs exposés dans l'ordonnance par le Ministère public. Dans ces conditions, il n’y a pas lieu d'offrir au recourant un nouveau délai pour entreprendre une motivation. Le recours doit d’emblée être déclaré irrecevable.</w:t>
      </w:r>
    </w:p>
    <w:p>
      <w:r>
        <w:rPr>
          <w:b/>
        </w:rPr>
        <w:t>E. 2</w:t>
      </w:r>
    </w:p>
    <w:p>
      <w:r>
        <w:t>Vu le sort du recours, les frais de procédure doivent être mis à la charge du recourant (art. 428 al. 1 CPP; art. 33 al. 2, 35 et 43 RJ). la Chambre arrête: I. Le recours est irrecevable. II. Les frais judiciaires de recours sont fixés à 273 fr. (émolument: 200 fr.; débours: 73 fr.). Ils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février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