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125 vom 25. Juni 2015</w:t>
      </w:r>
    </w:p>
    <w:p>
      <w:r>
        <w:t>FR Kantonsgericht, 2015-06-25, FR</w:t>
      </w:r>
    </w:p>
    <w:p>
      <w:r>
        <w:rPr>
          <w:b/>
        </w:rPr>
        <w:t xml:space="preserve">Quelle: </w:t>
      </w:r>
      <w:r>
        <w:t>https://mcp.opencaselaw.ch/entscheid/fr_gerichte_502_2015_125</w:t>
      </w:r>
    </w:p>
    <w:p>
      <w:r>
        <w:t>FR: FR_GERICHTE 502 2015 125 du 25 juin 2015</w:t>
      </w:r>
    </w:p>
    <w:p>
      <w:r>
        <w:t>IT: FR_GERICHTE 502 2015 125 del 25 giugno 2015</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 (art. 393 al. 1 let. a CPP). L’acte doit être adressé par écrit, dans le délai de dix jours, à l’autorité de recours, soit la Chambre pénale du Tribunal cantonal (art. 396 al. 1 CPP et 85 al. 1 LJ). Toute partie qui a un intérêt juridiquement protégé à l’annulation ou à la modification d’une décision a qualité pour recourir contre celle-ci (art. 382 al. 1 CPP). En l'espèce, le respect du délai de recours n'est pas contestable. En tant qu’elle constate la tardiveté de son opposition et refuse de lui accorder une restitution de délai pour procéder, la décision querellée touche directement le recourant qui a un intérêt à ce qu’elle soit annulée ou modifiée (art. 381 al. 1 CPP). b)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 Aufl.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w:t>
      </w:r>
    </w:p>
    <w:p>
      <w:r>
        <w:t>Tribunal cantonal TC Page 3 de 4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2ème instance n’a en effet pas à s’inquiéter du fait que le recourant présente une argumentation optimale (BSK StPO- ZIEGLER/KELLER, 2. Aufl. 2014, Art. 385 N 4; DONATSCH/ HANSJAKOB/LIEBER, Kommentar zur Schweizerischen Strafprozessordnung (StPO), 2. Aufl. 2014, Art. 385 N 3, et réf.). Dans sa lettre de recours, le recourant demande "de réétudier ce dossier car je compte maintenir mon opposition". Il ne tente toutefois pas d'exposer de motifs pour lesquels ce devrait être le cas. En l'absence de même un début de critique des motifs retenus par le premier juge, il n’y a pas lieu de lui offrir la possibilité de compléter leur motivation. Le recours doit d’emblée être déclaré irrecevable.</w:t>
      </w:r>
    </w:p>
    <w:p>
      <w:r>
        <w:rPr>
          <w:b/>
        </w:rPr>
        <w:t>E. 2</w:t>
      </w:r>
    </w:p>
    <w:p>
      <w:r>
        <w:t>Serait-il recevable que le recours devrait manifestement être rejeté. Avant de rendre sa décision, l'intimé a imparti au recourant un délai de 10 jours pour lui fournir tout document utile prouvant le déplacement professionnel invoqué comme motif du retard à l'opposition. N'ayant reçu aucune réponse, il a relancé l'opposant en lui impartissant un nouveau délai et en l'avisant formellement qu'à défaut de suite utile, son opposition sera déclaré irrecevable. Ce courrier étant lui aussi resté lettre morte, il a déclaré l'opposition irrecevable. Or selon l'art. 94 al. 1 et 2 CPP, une requête de restitution de délai doit être motivée et son auteur doit rendre vraisemblable que le défaut n'est imputable à aucune faute de sa part. En l'espèce, l'opposant et recourant ne conteste pas qu'il n'a pas fourni le justificatif requis par le Ministère public et son recours n'est pas non plus accompagné d'un tel justificatif. Il n'a ainsi pas été rendu vraisemblable qu'aucune faute n'est imputable à l'opposant et il ne peut par conséquent être question d'une restitution du délai.</w:t>
      </w:r>
    </w:p>
    <w:p>
      <w:r>
        <w:rPr>
          <w:b/>
        </w:rPr>
        <w:t>E. 3</w:t>
      </w:r>
    </w:p>
    <w:p>
      <w:r>
        <w:t>En application de l'art. 428 al. 1 CPP et vu le sort du pourvoi, les frais y relatifs (cf. art. 424 CPP, 33 ss et 43 RJ), par 200 fr. (émolument : 150 fr. ; débours : 50 fr.), doivent être mis à la charge du recourant. (dispositif en page suivante)</w:t>
      </w:r>
    </w:p>
    <w:p>
      <w:r>
        <w:t>Tribunal cantonal TC Page 4 de 4 la Chambre arrête: I. Le recours est irrecevable. II. Les frais de la procédure de recours, fixés à 200 fr.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juin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