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12 vom 26. Februar 2015</w:t>
      </w:r>
    </w:p>
    <w:p>
      <w:r>
        <w:t>FR Kantonsgericht, 2015-02-26, FR</w:t>
      </w:r>
    </w:p>
    <w:p>
      <w:r>
        <w:rPr>
          <w:b/>
        </w:rPr>
        <w:t xml:space="preserve">Quelle: </w:t>
      </w:r>
      <w:r>
        <w:t>https://mcp.opencaselaw.ch/entscheid/fr_gerichte_502_2015_12</w:t>
      </w:r>
    </w:p>
    <w:p>
      <w:r>
        <w:t>FR: FR_GERICHTE 502 2015 12 du 26 février 2015</w:t>
      </w:r>
    </w:p>
    <w:p>
      <w:r>
        <w:t>IT: FR_GERICHTE 502 2015 12 del 26 febbraio 2015</w:t>
      </w:r>
    </w:p>
    <w:p>
      <w:pPr>
        <w:pStyle w:val="Heading2"/>
      </w:pPr>
      <w:r>
        <w:t>Regeste</w:t>
      </w:r>
    </w:p>
    <w:p>
      <w:r>
        <w:t>Arrêt de la Chambre pénale du Tribunal cantonal | Strafrecht</w:t>
      </w:r>
    </w:p>
    <w:p>
      <w:pPr>
        <w:pStyle w:val="Heading2"/>
      </w:pPr>
      <w:r>
        <w:t>Erwägungen</w:t>
      </w:r>
    </w:p>
    <w:p>
      <w:r>
        <w:rPr>
          <w:b/>
        </w:rPr>
        <w:t>E. 1</w:t>
      </w:r>
    </w:p>
    <w:p>
      <w:r>
        <w:t>a) Le recours à la Chambre pénale est ouvert contre les décisions et les actes de la procédure de la police et du Ministère public (art. 393 al. 1 let. a CPP et. 85 al. 1 LJ). Un mandat de séquestre (art. 263 CPP) est ainsi susceptible de recours selon les art. 393 ss CPP. b) Selon les art. 322 al. 2 et 396 al. 1 CPP, le recours est adressé par écrit, dans le délai de dix jours, à l’autorité de recours. Déposé le 26 janvier 2015, le recours respecte ce délai, la décision attaquée ayant été notifiée le 17 janvier 2014 au plus tôt. c) En tant que prévenu touché par l’acte de procédure attaqué, A.________ a indéniablement qualité pour recourir. Il en va de même de B.________ SA, propriétaire du véhicule séquestré (art. 382 al. 1 CPP). d) Le recours est motivé et doté de conclusions; il est par conséquent recevable en la forme (art. 385 al. 1 et 396 al. 1 CPP). e) Le recours peut être formé pour (art. 393 al. 2 CPP) violation du droit, y compris l’excès et l’abus du pouvoir d’appréciation, le déni de justice et le retard injustifié (let. a), constatation incomplète ou erronée des faits (let. b) et inopportunité (let. c).</w:t>
      </w:r>
    </w:p>
    <w:p>
      <w:r>
        <w:t>Tribunal cantonal TC Page 3 de 5</w:t>
      </w:r>
    </w:p>
    <w:p>
      <w:r>
        <w:rPr>
          <w:b/>
        </w:rPr>
        <w:t>E. 2</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Pour que le séquestre soit conforme au principe de proportionnalité (cf. art. 197 al. 1 lit. c et d CPP), il faut qu'il soit apte à produire les résultats escomptés (règle de l’aptitude), ces derniers ne pouvant pas être atteints par une mesure moins incisive (règle de la nécessité) (CR CPP-LEMBO/ JULEN- BERTHOD, 2011, art. 263 n° 17); en outre, le principe de la proportionnalité interdit toute limitation allant au-delà du but visé et il exige un rapport raisonnable entre celui-ci et les intérêts publics ou privés compromis (principe de la proportionnalité au sens étroit; TF, arrêt non publié 1B_127/2013 du 1er mai 2013, consid. 3.1 et les références citées). L’art. 263 al. 1 CPP permet de mettre sous séquestre des objets et des valeurs patrimoniales appartenant au prévenu ou à des tiers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L'art. 70 al. 1 CP autorise le juge à confisquer des valeurs patrimoniales qui sont le résultat d'une infraction, si elles ne doivent pas être restituées au lésé en rétablissement de ses droits.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En revanche, les valeurs ne peuvent pas être considérées comme le résultat de l'infraction lorsque celle-ci n'a que facilité leur obtention ultérieure par un acte subséquent sans lien de connexité immédiate avec elle. Dès lors,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En raison de son caractère subsidiaire, la créance compensatrice ne peut être ordonnée que si, dans l'hypothèse où les valeurs patrimoniales auraient été disponibles, la confiscation eût été prononcée: Elle est alors soumise aux mêmes conditions que cette mesure. Néanmoins, un lien de connexité entre les valeurs saisies et l'infraction commise n'est pas requis. Le Code de procédure pénale ne prévoit pas expressément, ainsi qu'il le fait pour le séquestre en vue de la confiscation (cf. art. 263 al. 1 let. d CPP), de disposition permettant le séquestre en vue de garantir une créance compensatrice. Cette mesure est cependant possible en application de l'art. 71 al. 3 CP qui permet à l'autorité d'instruction de placer sous séquestre, en vue de l'exécution d'une créance compensatrice, des valeurs patrimoniales sans lien de connexité avec les faits faisant l'objet de l'instruction pénale. Tant que l'instruction n'est pas achevée et que subsiste une possibilité qu'une créance compensatrice puisse être ordonnée, la mesure</w:t>
      </w:r>
    </w:p>
    <w:p>
      <w:r>
        <w:t>Tribunal cantonal TC Page 4 de 5 conservatoire doit être maintenue. L'autorité doit pouvoir décider rapidement du séquestre (cf. art. 263 al. 2 CPP), ce qui exclut qu'elle résolve des questions juridiques complexes ou qu'elle attende d'être renseignée de manière exacte et complète sur les faits avant d'agir (ATF 140 IV 57, consid. 4.1 et 4.2 et les réf. citées; PERRIER DEPEURSINGE, CPP annoté, 2015, Art. 263, p. 340; TF, arrêt non publié 1B_213/2013 du 27 septembre 2013 consid. 4.1; TF, arrêt non publié 1B_458/2012 du 22 novembre 2012 consid. 3).</w:t>
      </w:r>
    </w:p>
    <w:p>
      <w:r>
        <w:rPr>
          <w:b/>
        </w:rPr>
        <w:t>E. 3</w:t>
      </w:r>
    </w:p>
    <w:p>
      <w:r>
        <w:t>a) En l’espèce, est seule litigieuse la question de savoir si le Ministère public était en droit de prononcer, en vue de l’exécution d’une créance compensatrice (art. 71 al. 3 CP), le séquestre du véhicule Audi Q3 2.0 TDI Quattro alors que celui-ci est la propriété de B.________ SA. Le Ministère public soutient que le recourant contrôle, dans les faits, toutes les sociétés dont il est actionnaire, dont B.________ SA et E.________ Ltd, en disposant de leurs ressources financières; il note à titre d’exemple que le prévenu a déclaré que B.________ SA lui avait versé 40'000 francs en avril 2014 car D.________ SA n’avait plus assez de liquidités pour lui payer son salaire. Or, cet argent provenait d’un compte ouvert auprès de H.________ au nom de I.________ l’un des quatre compartiments de E.________ Ltd. Sur la base de ces éléments, le Ministère public considère qu’il y a lieu de faire abstraction de la distinction entre l’actionnaire, prévenu de l’infraction, et la société B.________ SA qu’il détient. b) A teneur de l’art. 71 al. 3 CP, l’autorité d’instruction peut placer sous séquestre, en vue de l’exécution d’une créance compensatrice, des éléments du patrimoine de la personne concernée. Par "personne concernée" au sens de l'art. 71 al. 3 CP, on entend non seulement l'auteur, mais aussi, à certaines conditions, un tiers favorisé, d'une manière ou d'une autre, par l'infraction. La jurisprudence a aussi admis qu'un séquestre ordonné sur la base de l'art. 71 al. 3 CP peut viser les biens d'une société tierce, dans les cas où il convient de faire abstraction de la distinction entre l'actionnaire - auteur présumé de l'infraction - et la société qu'il détient (théorie dite de la transparence ["Durchgriff"]). On ne peut donc pas s'en tenir sans réserve à l'existence formelle de deux personnes juridiquement distinctes lorsque l'une d'elles est une personne morale qui se révèle être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(TF, arrêt 1B_583/2012 du 31 janvier 2013, consid. 2.1). Il en va de même dans l'hypothèse où le prévenu serait - dans les faits et malgré les apparences - le véritable bénéficiaire des valeurs cédées à un "homme de paille" ("Strohmann") sur la base d'un contrat simulé ("Scheingeschäft"; ATF 140 IV 57 consid. 4.1 et les réf. citées; TF, arrêt non publié 1B_213/2013 du 27 septembre 2013 consid. 4.1; TF, arrêt 1B_458/2012 du 22 novembre 2012 consid. 3.1; PERRIER DEPEURSINGE, CPP annoté, 2015, Art. 263, p. 341). c) Du 5 décembre 2011 au 19 décembre 2014, le véhicule Audi Q3 2.0 TDi Quattro faisait l’objet d’un contrat de leasing dont le preneur était D.________ SA, désormais en liquidation. Durant cette période, le véhicule était propriété exclusive de la société de leasing J.________ AG (recours, bordereau pièce 2). Le 14 janvier 2015, le véhicule a été racheté à celle-ci par B.________ SA (recours, bordereau pièce 5) qui en est donc actuellement propriétaire. A.________ est administrateur unique avec signature individuelle de B.________ SA. Il est également actionnaire unique de E.________ Ltd. Il peut donc prendre seul des décisions engageant ses sociétés et, dans les faits, il les contrôle selon toute vraisemblance complètement, en particulier s’agissant de l’utilisation de leurs actifs, comme si elles ne constituaient qu’une seule</w:t>
      </w:r>
    </w:p>
    <w:p>
      <w:r>
        <w:t>Tribunal cantonal TC Page 5 de 5 entité juridique. C’est ainsi B.________ SA qui lui a versé 40'000 francs en avril 2014, correspondant à deux mois de salaire que D.________ SA n’était plus en mesure de lui payer. Il est du reste symptomatique que la voiture, dont le preneur de leasing était D.________ SA, a été rachetée par B.________ SA. Il est tout autant significatif que ce soit A.________, agissant tant en son nom et qu’en celui de B.________ SA, qui réclame la levée du séquestre de la voiture qu’il utilise personnellement. La siège de la société, à Champéry, est à l’adresse du chalet dont le recourant est propriétaire (DO 14059). C’est dès lors avec raison que le Ministère public a refusé de retenir qu'il y a deux sujets de droits distincts avec des patrimoines séparés, B.________ SA semblant n’être qu’un simple instrument dans la main de son auteur, lequel, économiquement, ne fait qu'un avec elle. Partant, le séquestre du véhicule est justifié et doit être confirmé, de sorte que le recours de A.________ est rejeté.</w:t>
      </w:r>
    </w:p>
    <w:p>
      <w:r>
        <w:rPr>
          <w:b/>
        </w:rPr>
        <w:t>E. 4</w:t>
      </w:r>
    </w:p>
    <w:p>
      <w:r>
        <w:t>Vu l’issue du pourvoi, les frais de procédure (art. 43 RJ), fixés à 676 francs (émolument: 600 francs; débours: 76 francs), sont mis à la charge de A.________ et B.________ SA solidairement (art. 418 al. 2 et 428 al. 1 CPP). la Chambre arrête: I. Le recours est rejeté. Partant, le mandat de séquestre prononcé par le Ministère public le 16 janvier 2015 est confirmé. II. Les frais de la procédure de recours, fixés à 676 francs, sont mis à la charge de A.________ et de B.________ SA solidairement.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26 février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