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119 vom 10. Juni 2015</w:t>
      </w:r>
    </w:p>
    <w:p>
      <w:r>
        <w:t>FR Kantonsgericht, 2015-06-10, FR</w:t>
      </w:r>
    </w:p>
    <w:p>
      <w:r>
        <w:rPr>
          <w:b/>
        </w:rPr>
        <w:t xml:space="preserve">Quelle: </w:t>
      </w:r>
      <w:r>
        <w:t>https://mcp.opencaselaw.ch/entscheid/fr_gerichte_502_2015_119</w:t>
      </w:r>
    </w:p>
    <w:p>
      <w:r>
        <w:t>FR: FR_GERICHTE 502 2015 119 du 10 juin 2015</w:t>
      </w:r>
    </w:p>
    <w:p>
      <w:r>
        <w:t>IT: FR_GERICHTE 502 2015 119 del 10 giugno 2015</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Selon l’art. 222 du Code de procédure pénale (CPP),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w:t>
      </w:r>
    </w:p>
    <w:p>
      <w:r>
        <w:t>Tribunal cantonal TC Page 3 de 3 Ministère public, le Tribunal fédéral a admis que celui-ci est habilité à recourir contre une décision du Tmc ordonnant la mise en liberté du prévenu ou mettant en place des mesures de substitution au sens de l'art. 237 CPP (ATF 137 IV87; 137 IV 22 ).</w:t>
      </w:r>
    </w:p>
    <w:p>
      <w:r>
        <w:rPr>
          <w:b/>
        </w:rPr>
        <w:t>E. 2</w:t>
      </w:r>
    </w:p>
    <w:p>
      <w:r>
        <w:t>En l’espèce, le recours du Ministère public porte toutefois sur la durée de la détention préventive. Le Tmc, dans sa détermination du 8 juin 2015, soutient qu’il n’est pas habilité à la contester par le biais d’un recours à la Chambre pénale, puisqu'il peut requérir une prolongation de la détention et, cas échéant, recourir contre le refus de celle-ci. Il invoque une jurisprudence fédérale du 14 juin 2013 (1B_210/2013), qui va dans ce sens. Dans cet arrêt, le Tribunal fédéral a en effet confirmé un arrêt de l'autorité de recours déniant au Ministère public l'existence d'un intérêt actuel à un recours lorsqu'il s'en prend à la durée d'un mois seulement d'une détention provisoire, considérée par lui comme trop courte. Le motif en est qu'il conserve la possibilité de requérir une prolongation de celle-ci. Les considérations précitées sont en tous points applicables à la présente cause, où le recours sera en conséquence déclaré irrecevable sans attendre la détermination du prévenu, frais à la charge de l'Etat. la Chambre arrête: I. Le recours est irrecevable. II. Les frais, fixés à 590 francs (émolument : 500 francs ; débours : 90 francs), sont mis à la charge de l'Etat.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10 juin 2015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