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243 vom 18. Dezember 2014</w:t>
      </w:r>
    </w:p>
    <w:p>
      <w:r>
        <w:t>FR Kantonsgericht, 2014-12-18, FR</w:t>
      </w:r>
    </w:p>
    <w:p>
      <w:r>
        <w:rPr>
          <w:b/>
        </w:rPr>
        <w:t xml:space="preserve">Quelle: </w:t>
      </w:r>
      <w:r>
        <w:t>https://mcp.opencaselaw.ch/entscheid/fr_gerichte_502_2014_243</w:t>
      </w:r>
    </w:p>
    <w:p>
      <w:r>
        <w:t>FR: FR_GERICHTE 502 2014 243 du 18 décembre 2014</w:t>
      </w:r>
    </w:p>
    <w:p>
      <w:r>
        <w:t>IT: FR_GERICHTE 502 2014 243 del 18 dicembre 2014</w:t>
      </w:r>
    </w:p>
    <w:p>
      <w:pPr>
        <w:pStyle w:val="Heading2"/>
      </w:pPr>
      <w:r>
        <w:t>Regeste</w:t>
      </w:r>
    </w:p>
    <w:p>
      <w:r>
        <w:t>Arrêt de la IIe Cour d'appel civil du Tribunal cantonal | Jugendstrafrecht</w:t>
      </w:r>
    </w:p>
    <w:p>
      <w:pPr>
        <w:pStyle w:val="Heading2"/>
      </w:pPr>
      <w:r>
        <w:t>Erwägungen</w:t>
      </w:r>
    </w:p>
    <w:p>
      <w:r>
        <w:rPr>
          <w:b/>
        </w:rPr>
        <w:t>E. 4</w:t>
      </w:r>
    </w:p>
    <w:p>
      <w:r>
        <w:t>a) Vu l’issue du recours, les frais, fixés à 852 francs (émolument: 800 francs; débours: 52 francs), seront mis solidairement à la charge du recourant et de ses représentants légaux (art. 44 al. 3 PPMin et 428 al. 1 CPP en relation avec l’art. 44 al. 2 PPMin). b) Aucune indemnité de partie n’est accordée au recourant qui succombe. (dispositif en page suivante)</w:t>
      </w:r>
    </w:p>
    <w:p>
      <w:r>
        <w:t>Tribunal cantonal TC Page 8 de 8 la Chambre arrête: I. Le recours est rejeté dans la mesure de sa recevabilité. Partant, A.________ est invité à exécuter sa prestation personnelle conformément à la convocation du 1er octobre 2014. II. La requête d’effet suspensif est sans objet. III. Les frais, fixés à 852 francs (émolument: 800 francs; débours: 52 francs), sont mis solidairement à la charge de A.________ et de ses représentants légaux C.________ et D.________. IV. Aucune indemnité de partie n’est allouée.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décembre 2014/cfa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