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206 vom 11. Dezember 2014</w:t>
      </w:r>
    </w:p>
    <w:p>
      <w:r>
        <w:t>FR Kantonsgericht, 2014-12-11, FR</w:t>
      </w:r>
    </w:p>
    <w:p>
      <w:r>
        <w:rPr>
          <w:b/>
        </w:rPr>
        <w:t xml:space="preserve">Quelle: </w:t>
      </w:r>
      <w:r>
        <w:t>https://mcp.opencaselaw.ch/entscheid/fr_gerichte_502_2014_206</w:t>
      </w:r>
    </w:p>
    <w:p>
      <w:r>
        <w:t>FR: FR_GERICHTE 502 2014 206 du 11 décembre 2014</w:t>
      </w:r>
    </w:p>
    <w:p>
      <w:r>
        <w:t>IT: FR_GERICHTE 502 2014 206 del 11 dicembre 2014</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w:t>
      </w:r>
    </w:p>
    <w:p>
      <w:r>
        <w:t>Tribunal cantonal TC Page 3 de 5 b) La décision attaquée ayant été notifiée à la recourante le 26 septembre 2006, le recours déposé le 6 octobre 2014 l'a été dans le délai de dix jours prévu par l’art. 322 al. 2 CPP, applicable par renvoi de l’art. 310 al. 2 CPP. c) Dès lors qu’elle refuse d’entrer en matière sur l'infraction objet de la plainte, l’ordonnance querellée porte directement atteinte à la recourante qui a ainsi qualité pour recourir au sens des art. 382 al. 1 et 104 al. 1 let. b CPP. d) La Chambre jouit d'une pleine cognition, en fait, en droit et en opportunité (art. 393 al. 2 CPP).</w:t>
      </w:r>
    </w:p>
    <w:p>
      <w:r>
        <w:rPr>
          <w:b/>
        </w:rPr>
        <w:t>E. 2</w:t>
      </w:r>
    </w:p>
    <w:p>
      <w:r>
        <w:t>Selon l'art. 310 let. a CPP, le ministère public rend immédiatement une ordonnance de non- entrée en matière s'il ressort de la dénonciation ou du rapport de police que les éléments constitutifs de l'infraction ou les conditions à l'ouverture de l'action pénale ne sont manifestement pas réunis. Le ministère public doit ainsi être certain que les faits ne sont pas punissables (ATF 137 IV 285 consid. 2.3 et les références citées).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Une non-entrée en matière s'impose lorsque le litige est de nature purement civile (ATF 137 IV 285 consid. 2.3).</w:t>
      </w:r>
    </w:p>
    <w:p>
      <w:r>
        <w:rPr>
          <w:b/>
        </w:rPr>
        <w:t>E. 3</w:t>
      </w:r>
    </w:p>
    <w:p>
      <w:r>
        <w:t>La recourante soutient que le Ministère public a mal apprécié le contenu du recours du</w:t>
      </w:r>
    </w:p>
    <w:p>
      <w:r>
        <w:rPr>
          <w:b/>
        </w:rPr>
        <w:t>E. 8</w:t>
      </w:r>
    </w:p>
    <w:p>
      <w:r>
        <w:t>juillet 2014. Il retiendrait à tort que cet acte ne contient aucune affirmation gratuite. Selon la recourante, B.________ ne lui a pas demandé, ni aux autres personnes qu'elle attaque, de se déterminer sur les reproches formulés. En outre, en utilisant la formule "selon nos informations" avant d'exposer les déclarations attribuées à la directrice, B.________ laisserait entendre qu'elle a une autre source de renseignements que la personne licenciée, ce qui aurait pour but de donner plus de crédit à son acte. Pour la recourante, B.________ savait que les faits relatés étaient faux. Le recourante conteste ensuite la thèse du Ministère public, selon lequel la dénonciation du 25 août 2014 est rédigée avec retenue. Selon elle, au contraire, les propos utilisés dans cet acte constituent une véritable "mise à mort" de la personne visée. L'utilisation sporadique du conditionnel n'enlèverait rien aux reproches formulés à l'encontre de la plaignante. B.________ utiliserait au demeurant l'indicatif à la page 3 de la dénonciation, spécialement consacrée à la recourante. Selon la recourante, la secrétaire syndicale aurait enfin, pour mettre la pression, adresser une copie du courrier du 25 août 2014 à La Liberté. a)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Le fait de s'en prendre à la réputation de quelqu'un ne tombe donc pas sous le coup des art. 173 ss. CP, si l'honneur personnel et la réputation d'être un homme honorable ne sont pas touchés. Autrement</w:t>
      </w:r>
    </w:p>
    <w:p>
      <w:r>
        <w:t>Tribunal cantonal TC Page 4 de 5 dit, la réputation d'un commerçant, d'un artiste, d'un homme politique, de même que le sentiment qu'ils ont de leur propre dignité, ne sont protégés que dans la mesure où cette réputation et ce sentiment reposent sur des qualités morales (ATF 105 IV 194 consid. 2a).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et, sous certaines conditions, de l'avocat représentant une partie (ATF 135 IV 177 consid. 4 p. 177 ss; TF, arrêt 6B_410/2011 du 5.12.2011 consid. 3.1). Dans le cadre d'une procédure judiciaire, les allégations attentatoires à l'honneur d'une partie sont justifiées par le devoir de plaider la cause pour autant qu'elles soient pertinentes, qu'elles n'aillent pas au-delà de ce qui est nécessaire et qu'elles ne soient pas inutilement blessantes ou propagées de mauvaise foi; de simples suppositions doivent être présentées comme telles (ATF 131 IV 154 consid. 1.3 p. 157; TF, arrêts 2C_1138/2013 du 5.9.2014 consid. 2.2 et 1B_745/2012 du 22.3.2013 consid. 3.2). b) Pour le Ministère public, les courriers des 8 juillet et 25 août 2014 ont été rédigés de manière nuancée, dans un but légitime, soit de défense des intérêts des travailleurs syndiqués. Les reproches formulés ne dépassent pas la critique de l'activité des personnes visées pour leur prêter des visées malhonnêtes. Enfin, ces courriers sont adressés à l'autorité compétente et non à n'importe quel tiers et les reproches faits à la plaignante ne sont pas formulés gratuitement, mais sont illustrés et poursuivent un but de protection du personnel. Le Ministère public retient à propos du recours du 8 juillet 2014 qu'il ne contient aucune affirmation gratuite, que le déroulement de l'entretien du 14 mai 2014 entre la personne licenciée, la recourante et l'infirmier-chef d'unités de soins y est décrit du point de vue de la première citée et que déduction est faite que cet entretien, associé au fait que la personne syndiquée travaille depuis 17 ans au home et a été licenciée sans que sa proposition de reprise du travail ne soit étudiée, constitue un traitement portant atteinte à son intégrité. Contrairement à ce que soutient la recourante, le fait que la secrétaire syndicale relate les déclarations de celle-ci lors de l'entretien en utilisant la formule "selon nos informations" ne renforce pas le crédit des propos tenus dans le recours, mais contribue à les modérer. Au demeurant, les déclarations attribuées à la recourante lors de l'entretien de service en question ne touchent qu'à sa réputation professionnelle, qui n'est pas protégée par les art. 173 ss CP. Enfin, le reproche fait par la recourante à la secrétaire syndicale de ne pas avoir invité les personnes concernées à se déterminer sur les griefs émis par la personne licenciée n'est pas fondé, compte tenu de la nécessité pour le justiciable d'agir dans le délai de recours. Dans le courrier du 25 août 2014, la secrétaire syndicale se fait le porte-parole des membres syndiqués qui lui ont rapporté des dysfonctionnements au sein du home. Elle illustre ceux-ci par des exemples concernant les personnes dénoncées. Pour ce qui est de la directrice, il s'agit de l'entretien de service susmentionné et de la tentative de contraindre une employée de longue date, atteinte dans sa santé, d'adopter un horaire plus contraignant, incompatible avec son état de santé. La secrétaire syndicale qualifie le comportement de la recourante d'inadéquat et ses propos de discriminatoires et irrespectueux – le reproche de non intervention en cas de harcèlement entre collègues ne concerne indéniablement pas la recourante, mais la seule infirmière cheffe -. L'écrit du 25 août 2014, tout comme celui du 8 juillet 2014, ne remet en cause que les qualités professionnelles de la recourante, elle ne la fait pas apparaître comme méprisable.</w:t>
      </w:r>
    </w:p>
    <w:p>
      <w:r>
        <w:t>Tribunal cantonal TC Page 5 de 5 Il apparaît ainsi que tant le ton que les propos utilisés par la secrétaire syndicale dans les deux actes incriminés sont mesurés. Comme le relève au demeurant le Ministère public, une des tâches de la secrétaire syndicale est de recueillir les doléances du personnel syndiqué et de prendre les mesures qui lui semblent indiquées pour protéger celui-ci. Parmi les mesures envisageables, une demande d'intervention adressée à l'organe compétent est on ne peut plus adaptée et proportionnelle. Saisi, le comité de direction du home est tenu de donner à la dénonciation la suite légale qu'elle comporte, après avoir procédé aux investigations qu'il juge utiles. Enfin, dût-elle avoir été opérée, la communication du courrier du 25 août 2014 à La Liberté ne changerait rien à l'appréciation juridique des faits sous l'angle des art. 173 ss CP. En conséquence, le recours doit être rejeté, frais à la charge de la recourante (art. 428 al. 1 CPP). la Chambre arrête: I. Le recours est rejeté. II. Les frais de la procédure de recours, par 550 fr. (émolument : 500 fr.; débours : 50 fr.),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décembre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