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123 vom 4. September 2014</w:t>
      </w:r>
    </w:p>
    <w:p>
      <w:r>
        <w:t>FR Kantonsgericht, 2014-09-04, FR</w:t>
      </w:r>
    </w:p>
    <w:p>
      <w:r>
        <w:rPr>
          <w:b/>
        </w:rPr>
        <w:t xml:space="preserve">Quelle: </w:t>
      </w:r>
      <w:r>
        <w:t>https://mcp.opencaselaw.ch/entscheid/fr_gerichte_502_2014_123</w:t>
      </w:r>
    </w:p>
    <w:p>
      <w:r>
        <w:t>FR: FR_GERICHTE 502 2014 123 du 4 septembre 2014</w:t>
      </w:r>
    </w:p>
    <w:p>
      <w:r>
        <w:t>IT: FR_GERICHTE 502 2014 123 del 4 settembre 2014</w:t>
      </w:r>
    </w:p>
    <w:p>
      <w:pPr>
        <w:pStyle w:val="Heading2"/>
      </w:pPr>
      <w:r>
        <w:t>Regeste</w:t>
      </w:r>
    </w:p>
    <w:p>
      <w:r>
        <w:t>Arrêt de la Chambre pénale du Tribunal cantonal | Strafrecht</w:t>
      </w:r>
    </w:p>
    <w:p>
      <w:pPr>
        <w:pStyle w:val="Heading2"/>
      </w:pPr>
      <w:r>
        <w:t>Erwägungen</w:t>
      </w:r>
    </w:p>
    <w:p>
      <w:r>
        <w:rPr>
          <w:b/>
        </w:rPr>
        <w:t>E. 1</w:t>
      </w:r>
    </w:p>
    <w:p>
      <w:r>
        <w:t>Il est indéniable que la Chambre a commis une erreur en niant à A.________, dans son arrêt du 18 mars 2014, le droit à une indemnité au sens des art. 436 et 429 (CPP) du fait que Me Alain Ribordy serait son avocat d’office. Reste à déterminer si cette erreur peut être rectifiée par le biais d’une requête de reconsidération.</w:t>
      </w:r>
    </w:p>
    <w:p>
      <w:r>
        <w:rPr>
          <w:b/>
        </w:rPr>
        <w:t>E. 2</w:t>
      </w:r>
    </w:p>
    <w:p>
      <w:r>
        <w:t>Il n’est exceptionnellement pas perçu de frais judiciaires. Aucune indemnité de partie n’est allouée. la Chambre arrête: I. La demande de reconsidération du 30 mai 2014 est irrecevable. II. Il n’est pas perçu de frais judiciaires. III. Aucune indemnité de partie n’est allouée.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4 septembre 2014/sma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