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2 vom 3. Februar 2025</w:t>
      </w:r>
    </w:p>
    <w:p>
      <w:r>
        <w:t>FR Kantonsgericht, 2025-02-03, FR</w:t>
      </w:r>
    </w:p>
    <w:p>
      <w:r>
        <w:rPr>
          <w:b/>
        </w:rPr>
        <w:t xml:space="preserve">Quelle: </w:t>
      </w:r>
      <w:r>
        <w:t>https://mcp.opencaselaw.ch/entscheid/fr_gerichte_501_2025_2</w:t>
      </w:r>
    </w:p>
    <w:p>
      <w:r>
        <w:t>FR: FR_GERICHTE 501 2025 2 du 3 février 2025</w:t>
      </w:r>
    </w:p>
    <w:p>
      <w:r>
        <w:t>IT: FR_GERICHTE 501 2025 2 del 3 febbraio 2025</w:t>
      </w:r>
    </w:p>
    <w:p>
      <w:pPr>
        <w:pStyle w:val="Heading2"/>
      </w:pPr>
      <w:r>
        <w:t>Regeste</w:t>
      </w:r>
    </w:p>
    <w:p>
      <w:r>
        <w:t>Arrêt de la Cour d'appel pénal du Tribunal cantonal | Revision (Art. 410 à 415 StPO)</w:t>
      </w:r>
    </w:p>
    <w:p>
      <w:pPr>
        <w:pStyle w:val="Heading2"/>
      </w:pPr>
      <w:r>
        <w:t>Erwägungen</w:t>
      </w:r>
    </w:p>
    <w:p>
      <w:r>
        <w:rPr>
          <w:b/>
        </w:rPr>
        <w:t>E. 1.1</w:t>
      </w:r>
    </w:p>
    <w:p>
      <w:r>
        <w:t>En application de l'art. 21 al. 1 let. b CPP en relation avec l'art. 85 al. 2 de la loi du 31 mai 2010 sur la justice (LJ; RSF 130.1), la Cour d'appel pénal est compétente pour statuer sur les demandes de révision. Celles-ci doivent être motivées et adressées par écrit à la juridiction d'appel (art. 411 al. 1 CPP).</w:t>
      </w:r>
    </w:p>
    <w:p>
      <w:r>
        <w:rPr>
          <w:b/>
        </w:rPr>
        <w:t>E. 1.2</w:t>
      </w:r>
    </w:p>
    <w:p>
      <w:r>
        <w:t>Directement atteint par l’ordonnance litigieuse le condamnant, le demandeur est légitimé à introduire une demande de révision (art. 410 al. 1 CPP).</w:t>
      </w:r>
    </w:p>
    <w:p>
      <w:r>
        <w:rPr>
          <w:b/>
        </w:rPr>
        <w:t>E. 1.3</w:t>
      </w:r>
    </w:p>
    <w:p>
      <w:r>
        <w:t>Une ordonnance pénale entrée en force peut faire l'objet d'une révision (art. 410 al. 1 CPP). La révision, en tant que moyen subsidiaire, présuppose l'entrée en force formelle de la décision concernée (cf. BSK StPO-HEER, 2e éd. 2014, art. 410 n. 10). Une ordonnance pénale entre en force notamment lorsque le délai d'opposition de 10 jours, qui court dès la notification, s'écoule sans qu'il n'en soit fait usage (art. 437 al. 1 let. a et art. 354 CPP), ce qui est le cas en l’espèce, A.________ ne s’étant pas opposé à l’ordonnance pénale du 21 février 2024.</w:t>
      </w:r>
    </w:p>
    <w:p>
      <w:r>
        <w:rPr>
          <w:b/>
        </w:rPr>
        <w:t>E. 1.4</w:t>
      </w:r>
    </w:p>
    <w:p>
      <w:r>
        <w:t>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En l'occurrence, A.________ fonde essentiellement sa demande de révision sur l’existence de faits et de moyens de preuve qui étaient inconnus de l’autorité inférieure (art. 410 al. 1 let. a CPP) de sorte que sa demande n’est soumise à aucun délai.</w:t>
      </w:r>
    </w:p>
    <w:p>
      <w:r>
        <w:rPr>
          <w:b/>
        </w:rPr>
        <w:t>E. 1.5</w:t>
      </w:r>
    </w:p>
    <w:p>
      <w:r>
        <w:t>La Cour d'appel pénal peut rendre sa décision en procédure écrite (art. 390 al. 4 CPP).</w:t>
      </w:r>
    </w:p>
    <w:p>
      <w:r>
        <w:rPr>
          <w:b/>
        </w:rPr>
        <w:t>E. 2</w:t>
      </w:r>
    </w:p>
    <w:p>
      <w:r>
        <w:t>Conformément à l'art. 411 al. 1 CPP, la demande de révision doit contenir des conclusions, une motivation indiquant les causes de révision et tous les faits et moyens de preuves sur lesquels elle</w:t>
      </w:r>
    </w:p>
    <w:p>
      <w:r>
        <w:t>Tribunal cantonal TC Page 3 de 5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w:t>
      </w:r>
    </w:p>
    <w:p>
      <w:r>
        <w:rPr>
          <w:b/>
        </w:rPr>
        <w:t>E. 3.1</w:t>
      </w:r>
    </w:p>
    <w:p>
      <w:r>
        <w:t>L'art. 410 al. 1 let. a aCPP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 TF 6B_662/2019 du 23 août 2019 consid. 1.1). Il incombe à celui qui invoque un moyen de preuve, qui existait déjà au moment de la première procédure et dont il avait connaissance, de justifier de manière détaillée son abstention de le produire lors de la procédure initiale. A défaut, il doit se laisser opposer qu’il a renoncé sans raison valable à le faire, excluant ainsi qu’il puisse se prévaloir de ce moyen de preuve à l’appui d’une demande de révision (CR CPP-JACQUEMOUD-ROSSARI, 2ème éd. 2019, art. 410 n. 28).</w:t>
      </w:r>
    </w:p>
    <w:p>
      <w:r>
        <w:t>Tribunal cantonal TC Page 4 de 5</w:t>
      </w:r>
    </w:p>
    <w:p>
      <w:r>
        <w:rPr>
          <w:b/>
        </w:rPr>
        <w:t>E. 3.2</w:t>
      </w:r>
    </w:p>
    <w:p>
      <w:r>
        <w:t>A.________ demande la révision au motif qu’il existerait des faits et moyens de preuve nouveaux qui sont de nature à conduire à son acquittement. Il relève notamment que le 25 juillet 2022 il a effectué une déclaration de perte de sa pièce d’identité auprès de la police de l’Ouest lausannois et que le 21 décembre 2023 il a déposé une plainte pénale auprès de la même police après avoir reçu des CFF des factures en lien avec des infractions à répétition dont il serait l’auteur sur le trajet Fribourg-Lausanne. Il indique également avoir fait plusieurs démarches auprès des CFF qui se sont révélées vaines. Les différentes pièces en attestant sont jointes à sa demande.</w:t>
      </w:r>
    </w:p>
    <w:p>
      <w:r>
        <w:rPr>
          <w:b/>
        </w:rPr>
        <w:t>E. 3.3</w:t>
      </w:r>
    </w:p>
    <w:p>
      <w:r>
        <w:t>En l’espèce, force est de constater que les faits et moyens de preuve que soulève le demandeur auraient parfaitement pu être invoqués dans le cadre d’une procédure d’opposition qu’il n’a pas déclenchée. En effet, ils sont tous antérieurs à l’ordonnance pénale prononcée le 21 février 2024. C’est ainsi par sa seule faute que le demandeur n’a pas fait valoir tous les faits et moyens de preuve dont il se prévaut aujourd’hui dans le cadre de cette procédure de révision. C’est pourtant bien en formant opposition en temps utile à l’ordonnance pénale que le demandeur aurait dû procéder pour invoquer ces faits et moyens de preuve. Or, il ne l’a pas fait. Dans ces conditions, ce motif de révision apparaît clairement comme un moyen de contourner la voie de droit ordinaire. La demande de révision doit dès lors être qualifiée d’abusive.</w:t>
      </w:r>
    </w:p>
    <w:p>
      <w:r>
        <w:rPr>
          <w:b/>
        </w:rPr>
        <w:t>E. 3.4</w:t>
      </w:r>
    </w:p>
    <w:p>
      <w:r>
        <w:t>Il s’ensuit la non-entrée en matière sur la demande de révision.</w:t>
      </w:r>
    </w:p>
    <w:p>
      <w:r>
        <w:rPr>
          <w:b/>
        </w:rPr>
        <w:t>E. 4</w:t>
      </w:r>
    </w:p>
    <w:p>
      <w:r>
        <w:t>Vu l'issue de la cause, les frais judiciaires, arrêtés à CHF 250.- (émolument: CHF 200.-; débours: CHF 50.-), sont mis à la charge du demandeur. Il n'y a pas matière à indemnité. (dispositif en page suivante)</w:t>
      </w:r>
    </w:p>
    <w:p>
      <w:r>
        <w:t>Tribunal cantonal TC Page 5 de 5 la Cour arrête : I. Il n’est pas entré en matière sur la demande de révision du 17 décembre 2024. II. Les frais de la procédure de révision, arrêtés à CHF 250.- (émolument: CHF 200.-;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février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