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60 vom 11. Juni 2025</w:t>
      </w:r>
    </w:p>
    <w:p>
      <w:r>
        <w:t>FR Kantonsgericht, 2025-06-11, FR</w:t>
      </w:r>
    </w:p>
    <w:p>
      <w:r>
        <w:rPr>
          <w:b/>
        </w:rPr>
        <w:t xml:space="preserve">Quelle: </w:t>
      </w:r>
      <w:r>
        <w:t>https://mcp.opencaselaw.ch/entscheid/fr_gerichte_501_2024_60</w:t>
      </w:r>
    </w:p>
    <w:p>
      <w:r>
        <w:t>FR: FR_GERICHTE 501 2024 60 du 11 juin 2025</w:t>
      </w:r>
    </w:p>
    <w:p>
      <w:r>
        <w:t>IT: FR_GERICHTE 501 2024 60 del 11 giugno 2025</w:t>
      </w:r>
    </w:p>
    <w:p>
      <w:pPr>
        <w:pStyle w:val="Heading2"/>
      </w:pPr>
      <w:r>
        <w:t>Regeste</w:t>
      </w:r>
    </w:p>
    <w:p>
      <w:r>
        <w:t>Arrêt de la Cour d'appel pénal du Tribunal cantonal | Strafrecht</w:t>
      </w:r>
    </w:p>
    <w:p>
      <w:pPr>
        <w:pStyle w:val="Heading2"/>
      </w:pPr>
      <w:r>
        <w:t>Erwägungen</w:t>
      </w:r>
    </w:p>
    <w:p>
      <w:r>
        <w:rPr>
          <w:b/>
        </w:rPr>
        <w:t>E. 1</w:t>
      </w:r>
    </w:p>
    <w:p>
      <w:r>
        <w:t>et 3 let. a CPP). En l’espèce, A.________ (ci-après : l’appelante), a annoncé faire appel contre le jugement du 7 mars 2024 par courrier du 26 mars 2024, en respect du délai de 10 jours prévu par l'art. 399 al. 1 CPP. Le jugement dans sa teneur intégralement rédigée a été notifié le 24 avril 2024 aux parties. Remise à la poste le 14 mai 2024, la déclaration d'appel de A.________ a dès lors été interjetée en temps utile, soit avant l’expiration du délai de 20 jours de l'art. 399 al. 3 CPP. L’appelante a, de plus, qualité pour interjeter appel (art. 104 al. 1 let. b, 382 al. 1 et 399 al. 1 et 3 CPP).</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w:t>
      </w:r>
    </w:p>
    <w:p>
      <w:r>
        <w:rPr>
          <w:b/>
        </w:rPr>
        <w:t>E. 1.2</w:t>
      </w:r>
    </w:p>
    <w:p>
      <w:r>
        <w:t>Saisie d'un appel contre un jugement ne portant pas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 plaignante a sollicité une vision locale.</w:t>
      </w:r>
    </w:p>
    <w:p>
      <w:r>
        <w:rPr>
          <w:b/>
        </w:rPr>
        <w:t>E. 1.3.1</w:t>
      </w:r>
    </w:p>
    <w:p>
      <w:r>
        <w:t>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w:t>
      </w:r>
    </w:p>
    <w:p>
      <w:r>
        <w:t>Tribunal cantonal TC Page 4 de 12 qu'elles ne pourraient l'amener à modifier le résultat de celles déjà administrées (cf. ATF 136 I 229 consid. 5.3; arrêt TF 6B_84/2014 du 13 août 2014 consid. 3.4.1 et les références citées).</w:t>
      </w:r>
    </w:p>
    <w:p>
      <w:r>
        <w:rPr>
          <w:b/>
        </w:rPr>
        <w:t>E. 1.3.2</w:t>
      </w:r>
    </w:p>
    <w:p>
      <w:r>
        <w:t>A.________ requiert la mise en œuvre d’une vision locale afin que la Cour puisse bien saisir les circonstances de l’accident. Cette réquisition de preuve n’est pas utile en l’espèce. Il ne ressort nullement du dossier que la configuration des lieux serait atypique, qu’un élément sur la chaussée gênerait la visibilité ou que la voie présenterait une quelconque spécificité qui nécessiterait que la Cour en prenne directement connaissance. Au contraire, l’objet de la cause réside dans le comportement que l’une et l’autre des parties ont adopté avant la survenance de l’accident. En tout état de cause, l’ensemble de la Cour connaît l’intersection dont il est question. La réquisition de preuve est donc rejetée.</w:t>
      </w:r>
    </w:p>
    <w:p>
      <w:r>
        <w:rPr>
          <w:b/>
        </w:rPr>
        <w:t>E. 2</w:t>
      </w:r>
    </w:p>
    <w:p>
      <w:r>
        <w:t>L'appelante conteste les faits retenus par la Juge de police. Elle soutient que, en présence de plusieurs versions des faits irrémédiablement contradictoires, la première juge a versé dans l’arbitraire en choisissant la version la plus favorable à B.________. En effet, tout porte à croire que l’accident dont elle a été victime a été provoqué par la conduite négligente de la prévenue.</w:t>
      </w:r>
    </w:p>
    <w:p>
      <w:r>
        <w:rPr>
          <w:b/>
        </w:rPr>
        <w:t>E. 2.1</w:t>
      </w:r>
    </w:p>
    <w:p>
      <w:r>
        <w:t>L’examen de la crédibilité des déclarations est avant tout l’affaire du juge. Il faut vérifier si les déclarations sont compréhensibles, cohérentes et dignes de foi. De même, il faut vérifier si elles sont en harmonie avec les autres moyens de preuve. Sont réservés les cas particuliers où une expertise de crédibilité des déclarations de la victime s'impose (ATF 129 IV 179 consid. 2.4). En présence de versions contradictoires, il appartient au Tribunal de se forger son intime conviction sur la base des éléments pertinents du dossier et de la crédibilité des protagonistes aussi, ce qu'il apprécie librement (cf.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 arrêts TF 6B_642/2012 du 22 janvier 2013 et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(arrêts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Les déclarations de la victime constituent un élément de preuve. Le juge doit, dans l'évaluation globale de l'ensemble des éléments probatoires rassemblés au dossier, les apprécier librement</w:t>
      </w:r>
    </w:p>
    <w:p>
      <w:r>
        <w:t>Tribunal cantonal TC Page 5 de 12 (arrêts TF 6B_346/2019 du 29 mai 2019 consid. 2.2 ; 6B_1306/2017 du 17 mai 2018 consid. 2.1.1 ; 6B_942/2017 du 5 mars 2018 consid. 2.1.2 ; 6B_614/2012 du 15 février 2013 consid. 3.2.5 ; 6B_716/2010 du 15 novembre 2010 consid. 1.3), sous réserve des cas particuliers où une expertise de la crédibilité des déclarations de la victime s'impose (cf. ATF 129 IV 179 consid. 2.4).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 KRISTLER VIANIN, 2019, art. 398 n. 19).</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 dire de doutes qui s'imposent à l'esprit en fonction de la situation objective (cf. ATF 143 IV 500 consid. 1.1 ; arrêt TF 6B_988/2018 du 2 novembre 2018 consid. 1.1.1).</w:t>
      </w:r>
    </w:p>
    <w:p>
      <w:r>
        <w:rPr>
          <w:b/>
        </w:rPr>
        <w:t>E. 2.3.1</w:t>
      </w:r>
    </w:p>
    <w:p>
      <w:r>
        <w:t>Confrontée à des versions des faits contradictoires et en particulier à des doutes sur le comportement de la plaignante, la Juge de police a retenu, en application du principe in dubio pro reo, la version la plus favorable à la prévenue. La première juge est ainsi arrivée à la conclusion que, le 29 mai 2023, aux alentours de 14h40, B.________, qui circulait au volant de son véhicule immatriculé ccc, et A.________, qui circulait à vélo sur le côté droit de la chaussée, sont entrées en collision. Alors que B.________ circulait sur la route principale de Salvenach en direction de Morat, peu avant l’intersection Hauptstrasse-Oberburg, la conductrice a amorcé le dépassement de A.________. Parallèlement, après avoir regardé partiellement derrière elle et signalé son intention de tourner à gauche avec un signe de l’avant-bras tendu à un angle d’environ 45 degrés (DO 2013 l. 12 s), la cycliste, qui n’avait pas remarqué le véhicule de B.________ avant sa manœuvre, a bifurqué. Il s'en est suivi une collision entre l'avant droit du véhicule de B.________ et le vélo de A.________, qui a entraîné la chute de la cycliste. Cette dernière a notamment souffert de trois côtes cassées, de deux vertèbres lombaires cassées, de fractures multiples au sacrum et de divers hématomes et de contusions (DO 2014 l. 30 ss et 4009).</w:t>
      </w:r>
    </w:p>
    <w:p>
      <w:r>
        <w:rPr>
          <w:b/>
        </w:rPr>
        <w:t>E. 2.3.2</w:t>
      </w:r>
    </w:p>
    <w:p>
      <w:r>
        <w:t>Au vu des pièces versées au dossier, en particulier de l'ensemble des déclarations recueillies, la Cour de céans se rallie à l'appréciation de la Juge de police (cf. jugement attaqué, p.</w:t>
      </w:r>
    </w:p>
    <w:p>
      <w:r>
        <w:rPr>
          <w:b/>
        </w:rPr>
        <w:t>E. 5</w:t>
      </w:r>
    </w:p>
    <w:p>
      <w:r>
        <w:t>Les frais de procédure sont mis à la charge de l'Etat. II. En application de l’art. 428 al. 1 CPP, les frais de procédure d’appel dus à l’Etat sont mis à la charge de A.________. Ils sont fixés à CHF 2’200.- (émolument: CHF 2’000.-; débours: CHF 200.-), compensés en partie par le montant de CHF 2'000.- versé au titre de sûretés. III. En application de l’art. 429 al. 3 CPP, une indemnité de CHF 2'474.40, TVA par CHF 184.45 comprise est allouée à Me Christophe Sansonnens pour la défense des intérêts de B.________ à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juin 2025/nse/sag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