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49 vom 27. Februar 2025</w:t>
      </w:r>
    </w:p>
    <w:p>
      <w:r>
        <w:t>FR Kantonsgericht, 2025-02-27, FR</w:t>
      </w:r>
    </w:p>
    <w:p>
      <w:r>
        <w:rPr>
          <w:b/>
        </w:rPr>
        <w:t xml:space="preserve">Quelle: </w:t>
      </w:r>
      <w:r>
        <w:t>https://mcp.opencaselaw.ch/entscheid/fr_gerichte_501_2024_49</w:t>
      </w:r>
    </w:p>
    <w:p>
      <w:r>
        <w:t>FR: FR_GERICHTE 501 2024 49 du 27 février 2025</w:t>
      </w:r>
    </w:p>
    <w:p>
      <w:r>
        <w:t>IT: FR_GERICHTE 501 2024 49 del 27 febbraio 2025</w:t>
      </w:r>
    </w:p>
    <w:p>
      <w:pPr>
        <w:pStyle w:val="Heading2"/>
      </w:pPr>
      <w:r>
        <w:t>Regeste</w:t>
      </w:r>
    </w:p>
    <w:p>
      <w:r>
        <w:t>Arrêt de la Cour d'appel pénal du Tribunal cantonal | Strafrecht</w:t>
      </w:r>
    </w:p>
    <w:p>
      <w:pPr>
        <w:pStyle w:val="Heading2"/>
      </w:pPr>
      <w:r>
        <w:t>Erwägungen</w:t>
      </w:r>
    </w:p>
    <w:p>
      <w:r>
        <w:rPr>
          <w:b/>
        </w:rPr>
        <w:t>E. 1</w:t>
      </w:r>
    </w:p>
    <w:p>
      <w:r>
        <w:t>et 3 let. a CPP). Le jugement intégralement rédigé du 4 mars 2024 a été notifié à l’appelante le 19 mars 2024. La déclaration d’appel a été déposée le 8 avril 2024, soit dans le délai légal de 20 jours. De plus, l’appelante, prévenue condamnée, a qualité pour interjeter appel (art. 104 al. 1 let. a et 382 al. 1 CPP). En l'espèce, l'appel est dirigé contre le jugement dans son ensemble et respecte le prescrit de l'art. 399 al. 3 CPP. Il s'ensuit la recevabilité de l'appel.</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Saisie d'un appel contre un jugement ne portant pas que sur des contraventions, la Cour de céans jouit d'un plein pouvoir d'examen sur tous les points attaqués du jugement (art. 398 al. 2 CPP): elle revoit la cause librement en fait, en droit et en opportunité (art. 398 al. 3 CPP ; ATF 6B_43/2012</w:t>
      </w:r>
    </w:p>
    <w:p>
      <w:r>
        <w:t>Tribunal cantonal TC Page 4 de 8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In casu, l'appelante conteste le jugement dans son intégralité, soit sa condamnation pour lésions corporelles simples.</w:t>
      </w:r>
    </w:p>
    <w:p>
      <w:r>
        <w:rPr>
          <w:b/>
        </w:rPr>
        <w:t>E. 1.3</w:t>
      </w:r>
    </w:p>
    <w:p>
      <w:r>
        <w:t>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l'appelante, la partie plaignante et le Ministère public ne s’y sont pas opposé, les conditions d'application de la procédure écrite sont réalisées en l’espèce.</w:t>
      </w:r>
    </w:p>
    <w:p>
      <w:r>
        <w:rPr>
          <w:b/>
        </w:rPr>
        <w:t>E. 2</w:t>
      </w:r>
    </w:p>
    <w:p>
      <w:r>
        <w:t>L’appelante, contestant toute implication dans l’altercation, se plaint en substance d’une constatation inexacte des faits et d’une violation du principe in dubio pro reo.</w:t>
      </w:r>
    </w:p>
    <w:p>
      <w:r>
        <w:rPr>
          <w:b/>
        </w:rPr>
        <w:t>E. 2.1</w:t>
      </w:r>
    </w:p>
    <w:p>
      <w:r>
        <w:t>La présomption d'innocence, garantie par les art. 14 par. 2 Pacte ONU, 6 par. 2 CEDH, 32 al. 1 Cst. et 10 CPP,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pas le juge de motiver son jugement en fait et en droit (art. 81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w:t>
      </w:r>
    </w:p>
    <w:p>
      <w:r>
        <w:t>Tribunal cantonal TC Page 5 de 8 apparaissent pertinents (ATF 138 I 232 consid. 5.1). Les art. 9 Cst. et 6 par. 1 CEDH n'ont pas une portée plus étendue.</w:t>
      </w:r>
    </w:p>
    <w:p>
      <w:r>
        <w:rPr>
          <w:b/>
        </w:rPr>
        <w:t>E. 2.2</w:t>
      </w:r>
    </w:p>
    <w:p>
      <w:r>
        <w:t>L’appelante allègue tout d’abord que les versions des faits de la partie plaignante décrites à l’HFR, à la police et devant le Juge de police divergent sur des points importants et essentiels. Cette constatation est partagée par la Cour. Il suffit de lire les pièces en question. Cette constatation est du reste partagée par le juge de police, lequel a retenu que les déclarations de la plaignante étaient fluctuantes et que sa crédibilité n’était pas très élevée. Il relève également qu’elle a, en séance, aggravé les faits en y rajoutant des injures et la disparition ou l’endommagement, lors de l’altercation, de bijoux (ndr : d’une valeur de plusieurs milliers de francs). Il a également conclu que la crédibilité de la prévenue n’était pas très élevée non plus, étant manifestement sous l’influence de l’alcool le jour en question. Comme l’a pertinemment relevé le Juge de police, les versions de la prévenue et de la partie plaignante divergent complètement et aucun élément au dossier ne permet de retenir que l’une ou l’autre version serait plus crédible. Si aucun élément au dossier ne permet de retenir la version des faits de la plaignante, une telle constatation doit déjà conduire à l’acquittement de la prévenue en application du principe in dubio pro reo. Il y a certes un certificat médical (DO 2017 ss) établi le jour et le lendemain des faits, lequel constate des plaies épidermiques entre les seins, mais aucune douleur à la cage thoracique, aucune douleur à la colonne vertébrale, aucune lésion à la tête, ni au cou. Aucune morsure à la main gauche n’a été constatée médicalement, alors que la plaignante a déclaré lors du constat qu’elle avait été mordue à la main gauche, qu’elle aurait reçu une gifle au visage et des coups de poing, puis des coups de pied au visage alors qu’elle était à terre. Elle allègue aussi avoir eu les seins pincés et avoir été étranglée pendant plusieurs secondes. S’agissant des lésions constatées, le certificat médical mentionne qu’elles sont compatibles avec les déclarations de la plaignante. En revanche, il ne peut naturellement pas prouver leur origine. Quant à l’absence de lésions constatées au cou, au visage, à la main, elle ne peut qu’interpeller et ne fait que renforcer le doute sur la réalité de l’altercation dénoncée. Il y a certes un rapport de police, mais l’agent dénonciateur n’a lui-même rien constaté. Si le rapport dénonce l’appelante pour avoir commis des lésions corporelles simples à l’encontre de la partie plaignante, et décrit comme suit le mode opératoire « Tirer la veste avec les mains, bousculer et faire tomber, frapper et mordre la victime », il mentionne en conclusion que les deux protagonistes étaient alcoolisés au moment des faits et que leurs versions divergent fortement (DO 2'000 ss). Lors de son audition de police du 2 mai 2023, soit plus de 10 jours après les faits, la plaignante n’allègue pas que ses lunettes d’une valeur supérieure à CHF 1'000.- auraient été détruites par la prévenue, ni le fait que son bracelet en or (d’une valeur de CHF 1'700.- selon conclusions civiles prises par son mandataire le 1er mars 2024) et sa bague en or (valeur CHF 3'900.- ibidem) auraient été endommagés ou auraient disparus au moment des faits, ce qui ne manque pas d’interpeller. Le fait qu’elle ne dépose pas plainte pour dommages à la propriété ou pour vol interpelle également. Il est vrai que le rapport de police mentionne expressément que, selon la main courante du 19 avril 2023, l’intervention de la police avait effectivement été sollicitée, à 17h15 heures, sur la place de la gare, pour une femme hystérique qui hurlait dans la rue. Cette femme a été identifiée en la personne de la prévenue. Selon la patrouille dépêchée sur place, cette femme était alcoolisée et faisait preuve d’un comportement désagréable. Elle était accompagnée de la partie plaignante, à qui elle venait de casser ses lunettes. Sur les lieux, la partie plaignante s’était réservé le droit de déposer une</w:t>
      </w:r>
    </w:p>
    <w:p>
      <w:r>
        <w:t>Tribunal cantonal TC Page 6 de 8 plainte pénale, ce qu’elle a fait le 2 mai 2023 (DO 2'006 s.). Là encore, si cette constatation permet d’établir la présence des deux protagonistes vers la gare le jour en question, elle ne permet pas d’établir la réalité des faits reprochés, le rapport ne faisant aucun état d’une agression physique, ni de lésions subies ou constatées par les agents. Partant, sur le vu de ce qui précède, un doute insurmontable subsiste quant à l’implication de la prévenue en lien avec l’altercation dénoncée par la plaignante et quant à la réalité des faits dénoncés, ce qui doit conduire à un acquittement.</w:t>
      </w:r>
    </w:p>
    <w:p>
      <w:r>
        <w:rPr>
          <w:b/>
        </w:rPr>
        <w:t>E. 3</w:t>
      </w:r>
    </w:p>
    <w:p>
      <w:r>
        <w:t>Vu l’acquittement de la prévenue, les conclusions civiles prises par la plaignante et tendant au remboursement de ses lunettes endommagées doivent être renvoyées à la connaissance du juge civil (art. 126 al. 2 let. d CPP). Le rejet des conclusions en tort moral, non contesté en appel, est déjà entré en force.</w:t>
      </w:r>
    </w:p>
    <w:p>
      <w:r>
        <w:rPr>
          <w:b/>
        </w:rPr>
        <w:t>E. 4</w:t>
      </w:r>
    </w:p>
    <w:p>
      <w:r>
        <w:t>L’indemnité due par l’Etat à Me Jean-Luc MARADAN, mandataire gratuit de B.________ est fixée à CHF 2'994.90 (TVA par CHF 224.40 comprise).</w:t>
      </w:r>
    </w:p>
    <w:p>
      <w:r>
        <w:rPr>
          <w:b/>
        </w:rPr>
        <w:t>E. 4.1</w:t>
      </w:r>
    </w:p>
    <w:p>
      <w:r>
        <w:t>Vu le sort de l’appel, les frais de la procédure d’appel, arrêtés à CHF 1’100.- (émoluments : CHF 1’000.- ; débours : CHF 100.-) sont mis à la charge de l’Etat, la partie plaignante étant au bénéfice de l’assistance judiciaire. De même, les frais de procédure de première instance doivent être mis à la charge de l’Etat.</w:t>
      </w:r>
    </w:p>
    <w:p>
      <w:r>
        <w:rPr>
          <w:b/>
        </w:rPr>
        <w:t>E. 4.2</w:t>
      </w:r>
    </w:p>
    <w:p>
      <w:r>
        <w:t>Les débours d’appel comprennent notamment les frais imputables à la défense d’office et à l’assistance judiciaire gratuite (art. 422 al. 2 let. a CPP). Le tribunal qui statue au fond fixe l’indemnité à la fin de la procédure, conformément au tarif du canton du for du procès (art. 135 al. 1 et 2 et 138 al. 1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jusqu’au 31 décembre 2023 et de 8.1 % dès le 1er janvier 2024 (art. 25 de la loi du 12 juin 2009 sur la TVA [LTVA; RS 641.20]). Me Jean-Luc Maradan agit en qualité de défenseur d’office de la partie plaignante. Il a été désigné par ordonnance du Président de la Cour de céans du 30 avril 2024. Sur la base de la liste de frais du 20 décembre 2024, la Cour fait globalement droit aux opérations demandées par Me Jean-Luc Maradan. Cependant, toutes les opérations de correspondance usuelle étant déjà facturées au tarif horaire, il n’y a pas place pour le forfait correspondance de CHF 150.-. Par conséquent, l’indemnité du défenseur d’office de la partie plaignante, pour la procédure d’appel, est fixée à CHF 1'718.-, TVA par CHF 128.75 comprise.</w:t>
      </w:r>
    </w:p>
    <w:p>
      <w:r>
        <w:t>Tribunal cantonal TC Page 7 de 8</w:t>
      </w:r>
    </w:p>
    <w:p>
      <w:r>
        <w:rPr>
          <w:b/>
        </w:rPr>
        <w:t>E. 4.3</w:t>
      </w:r>
    </w:p>
    <w:p>
      <w:r>
        <w:t>Vu l’acquittement prononcé, la prévenue a droit à une équitable indemnité à charge de l’Etat, fondée sur l’art. 429 CPP, pour ses frais de défense tant pour la première instance que pour la procédure d’appel. La liste de frais présentée pour les opérations de première instance ne prête pas flanc à la critique. Partant, après prise en compte de la durée effective de la séance de tribunal, une équitable indemnité de CHF 4’000.-, TVA par CHF 300.- comprise, sera octroyée à la prévenue. Pour la deuxième instance, la liste présentée, calculée au tarif horaire de CHF 250.-, est également acceptée. Un montant de CHF 3’249.10, TVA par CHF 243.50 comprise, est alloué à ce titre. la Cour arrête : I. L’appel est admis. Partant, le jugement du Juge de police de l’arrondissement de la Sarine du 4 mars 2024 est réformé et prend la teneur suivante : 1. A.________ est acquittée. 2. a) La conclusion civile prise par B.________ à titre d’indemnité pour tort moral est rejetée. b) Les autres conclusions civiles prises par B.________ sont renvoyées à la connaissance du juge civil. 3. Les frais de procédure, fixés à CHF 1’025.- (émolument CHF 1'000.-, débours : CHF 25.-) sont laissés à la charge de l’Etat.</w:t>
      </w:r>
    </w:p>
    <w:p>
      <w:r>
        <w:rPr>
          <w:b/>
        </w:rPr>
        <w:t>E. 5</w:t>
      </w:r>
    </w:p>
    <w:p>
      <w:r>
        <w:t>Sur la base de l’art. 429 al. 1 let. a CPP, l'Etat est astreint à verser à A.________ une indemnité pour les dépenses occasionnées par l'exercice de ses droits de procédure. Elle est fixée à CHF 4’000.-, TVA par CHF 300.- comprise. II. Les frais de la procédure d’appel, arrêtés à CHF 1’100.- (émoluments : CHF 1’000.- ; débours : CHF 100.-) sont mis à la charge de l’Etat. III. L’indemnité de mandataire gratuit due à Me Jean-Luc Maradan pour la procédure d’appel est fixée à CHF 1'718.-, TVA par CHF 128.75 comprise. IV. Pour la procédure d’appel, sur la base des art. 436 al. 1 et 429 al. 1 let. a CPP, l'Etat est astreint à verser à A.________ une indemnité pour les dépenses occasionnées par l'exercice de ses droits de procédure. Elle est fixée à CHF 3’249.10, TVA par CHF 243.50 comprise. V. Notification. Cet arrêt peut faire l’objet d’un recours en matière pénale au Tribunal fédéral dans les trente jours dès la notification de l’arrêt rédigé. La qualité et les autres conditions pour interjeter recours sont</w:t>
      </w:r>
    </w:p>
    <w:p>
      <w:r>
        <w:t>Tribunal cantonal TC Page 8 de 8 déterminées par les art. 78 à 81 et 90ss de la loi sur le Tribunal fédéral du 17 juin 2005 (LTF). L’acte de recours motivé doit être adressé au Tribunal fédéral, 1000 Lausanne 14. Fribourg, le 27 février 2025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